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jc w:val="center"/>
      </w:pPr>
      <w:r>
        <w:rPr>
          <w:rFonts w:ascii="Arial" w:cs="Arial" w:eastAsia="Arial" w:hAnsi="Arial"/>
          <w:b/>
          <w:bCs/>
          <w:color w:val="1B3A5C"/>
          <w:sz w:val="44"/>
          <w:szCs w:val="44"/>
        </w:rPr>
        <w:t xml:space="preserve">MEETING BRIEF</w:t>
      </w:r>
    </w:p>
    <w:p>
      <w:pPr>
        <w:spacing w:after="600"/>
        <w:jc w:val="center"/>
      </w:pPr>
      <w:r>
        <w:rPr>
          <w:rFonts w:ascii="Arial" w:cs="Arial" w:eastAsia="Arial" w:hAnsi="Arial"/>
          <w:color w:val="2E5A88"/>
          <w:sz w:val="28"/>
          <w:szCs w:val="28"/>
        </w:rPr>
        <w:t xml:space="preserve">EBRM v. Live Nation Entertainment</w:t>
      </w:r>
    </w:p>
    <w:p>
      <w:pPr>
        <w:pStyle w:val="Heading1"/>
        <w:spacing w:after="150" w:before="300"/>
      </w:pPr>
      <w:r>
        <w:rPr>
          <w:rFonts w:ascii="Arial" w:cs="Arial" w:eastAsia="Arial" w:hAnsi="Arial"/>
        </w:rPr>
        <w:t xml:space="preserve">Meeting Details</w:t>
      </w:r>
    </w:p>
    <w:p>
      <w:pPr>
        <w:spacing w:after="80"/>
      </w:pPr>
      <w:r>
        <w:rPr>
          <w:rFonts w:ascii="Arial" w:cs="Arial" w:eastAsia="Arial" w:hAnsi="Arial"/>
          <w:b/>
          <w:bCs/>
          <w:sz w:val="22"/>
          <w:szCs w:val="22"/>
        </w:rPr>
        <w:t xml:space="preserve">Matter: </w:t>
      </w:r>
      <w:r>
        <w:rPr>
          <w:rFonts w:ascii="Arial" w:cs="Arial" w:eastAsia="Arial" w:hAnsi="Arial"/>
          <w:sz w:val="22"/>
          <w:szCs w:val="22"/>
        </w:rPr>
        <w:t xml:space="preserve">Holy Ghost Met Master Tenant LLC et al. v. Live Nation Entertainment, Inc. et al.</w:t>
      </w:r>
    </w:p>
    <w:p>
      <w:pPr>
        <w:spacing w:after="80"/>
      </w:pPr>
      <w:r>
        <w:rPr>
          <w:rFonts w:ascii="Arial" w:cs="Arial" w:eastAsia="Arial" w:hAnsi="Arial"/>
          <w:b/>
          <w:bCs/>
          <w:sz w:val="22"/>
          <w:szCs w:val="22"/>
        </w:rPr>
        <w:t xml:space="preserve">Case Numbers: </w:t>
      </w:r>
      <w:r>
        <w:rPr>
          <w:rFonts w:ascii="Arial" w:cs="Arial" w:eastAsia="Arial" w:hAnsi="Arial"/>
          <w:sz w:val="22"/>
          <w:szCs w:val="22"/>
        </w:rPr>
        <w:t xml:space="preserve">210302074 and 191201618 (Philadelphia County Court of Common Pleas, Commerce Program)</w:t>
      </w:r>
    </w:p>
    <w:p>
      <w:pPr>
        <w:spacing w:after="80"/>
      </w:pPr>
      <w:r>
        <w:rPr>
          <w:rFonts w:ascii="Arial" w:cs="Arial" w:eastAsia="Arial" w:hAnsi="Arial"/>
          <w:b/>
          <w:bCs/>
          <w:sz w:val="22"/>
          <w:szCs w:val="22"/>
        </w:rPr>
        <w:t xml:space="preserve">Meeting Type: </w:t>
      </w:r>
      <w:r>
        <w:rPr>
          <w:rFonts w:ascii="Arial" w:cs="Arial" w:eastAsia="Arial" w:hAnsi="Arial"/>
          <w:sz w:val="22"/>
          <w:szCs w:val="22"/>
        </w:rPr>
        <w:t xml:space="preserve">Litigation Strategy / Case Review</w:t>
      </w:r>
    </w:p>
    <w:p>
      <w:pPr>
        <w:spacing w:after="80"/>
      </w:pPr>
      <w:r>
        <w:rPr>
          <w:rFonts w:ascii="Arial" w:cs="Arial" w:eastAsia="Arial" w:hAnsi="Arial"/>
          <w:b/>
          <w:bCs/>
          <w:sz w:val="22"/>
          <w:szCs w:val="22"/>
        </w:rPr>
        <w:t xml:space="preserve">Prepared For: </w:t>
      </w:r>
      <w:r>
        <w:rPr>
          <w:rFonts w:ascii="Arial" w:cs="Arial" w:eastAsia="Arial" w:hAnsi="Arial"/>
          <w:sz w:val="22"/>
          <w:szCs w:val="22"/>
        </w:rPr>
        <w:t xml:space="preserve">Eric Blumenfeld / EBRM</w:t>
      </w:r>
    </w:p>
    <w:p>
      <w:pPr>
        <w:spacing w:after="80"/>
      </w:pPr>
      <w:r>
        <w:rPr>
          <w:rFonts w:ascii="Arial" w:cs="Arial" w:eastAsia="Arial" w:hAnsi="Arial"/>
          <w:b/>
          <w:bCs/>
          <w:sz w:val="22"/>
          <w:szCs w:val="22"/>
        </w:rPr>
        <w:t xml:space="preserve">Date Prepared: </w:t>
      </w:r>
      <w:r>
        <w:rPr>
          <w:rFonts w:ascii="Arial" w:cs="Arial" w:eastAsia="Arial" w:hAnsi="Arial"/>
          <w:sz w:val="22"/>
          <w:szCs w:val="22"/>
        </w:rPr>
        <w:t xml:space="preserve">March 5, 2026</w:t>
      </w:r>
    </w:p>
    <w:p>
      <w:pPr>
        <w:spacing w:after="80"/>
      </w:pPr>
      <w:r>
        <w:rPr>
          <w:rFonts w:ascii="Arial" w:cs="Arial" w:eastAsia="Arial" w:hAnsi="Arial"/>
          <w:b/>
          <w:bCs/>
          <w:sz w:val="22"/>
          <w:szCs w:val="22"/>
        </w:rPr>
        <w:t xml:space="preserve">Property: </w:t>
      </w:r>
      <w:r>
        <w:rPr>
          <w:rFonts w:ascii="Arial" w:cs="Arial" w:eastAsia="Arial" w:hAnsi="Arial"/>
          <w:sz w:val="22"/>
          <w:szCs w:val="22"/>
        </w:rPr>
        <w:t xml:space="preserve">The Metropolitan Opera House, 858 N. Broad Street, Philadelphia, PA</w:t>
      </w:r>
    </w:p>
    <w:p>
      <w:pPr>
        <w:pStyle w:val="Heading1"/>
        <w:spacing w:after="150" w:before="300"/>
      </w:pPr>
      <w:r>
        <w:rPr>
          <w:rFonts w:ascii="Arial" w:cs="Arial" w:eastAsia="Arial" w:hAnsi="Arial"/>
        </w:rPr>
        <w:t xml:space="preserve">Case Overview</w:t>
      </w:r>
    </w:p>
    <w:p>
      <w:pPr>
        <w:spacing w:after="120"/>
      </w:pPr>
      <w:r>
        <w:rPr>
          <w:rFonts w:ascii="Arial" w:cs="Arial" w:eastAsia="Arial" w:hAnsi="Arial"/>
          <w:sz w:val="22"/>
          <w:szCs w:val="22"/>
        </w:rPr>
        <w:t xml:space="preserve">EBRM (through Holy Ghost Met Master Tenant LLC and Holy Ghost Headquarters Revival Center at the Met Inc.) brought suit against Live Nation Entertainment, Inc. and Geoffrey S. Gordon for breach of the Event Center Lease governing the Metropolitan Opera House in Philadelphia. The case involves multiple categories of breach spanning the period from the venue's opening in December 2018 through the present.</w:t>
      </w:r>
    </w:p>
    <w:p>
      <w:pPr>
        <w:spacing w:after="120"/>
      </w:pPr>
      <w:r>
        <w:rPr>
          <w:rFonts w:ascii="Arial" w:cs="Arial" w:eastAsia="Arial" w:hAnsi="Arial"/>
          <w:sz w:val="22"/>
          <w:szCs w:val="22"/>
        </w:rPr>
        <w:t xml:space="preserve">Eric Blumenfeld invested over $56 million in the restoration of this historic 1908 venue, relying on Live Nation's promises of 150+ shows per year, 450,000-500,000 annual ticket sales, and seven-figure sponsorship revenues. Live Nation systematically failed to meet these commitments while continuing to collect revenues and expanding operations to competing venues in the region.</w:t>
      </w:r>
    </w:p>
    <w:p>
      <w:pPr>
        <w:spacing w:after="120"/>
      </w:pPr>
      <w:r>
        <w:rPr>
          <w:rFonts w:ascii="Arial" w:cs="Arial" w:eastAsia="Arial" w:hAnsi="Arial"/>
          <w:sz w:val="22"/>
          <w:szCs w:val="22"/>
        </w:rPr>
        <w:t xml:space="preserve">The case is strengthened by the U.S. Department of Justice's 2024 antitrust action against Live Nation/Ticketmaster, which validates claims of monopolistic practices including exclusive dealing, self-preferencing, and threats against venues.</w:t>
      </w:r>
    </w:p>
    <w:p>
      <w:pPr>
        <w:pStyle w:val="Heading1"/>
        <w:spacing w:after="150" w:before="300"/>
      </w:pPr>
      <w:r>
        <w:rPr>
          <w:rFonts w:ascii="Arial" w:cs="Arial" w:eastAsia="Arial" w:hAnsi="Arial"/>
        </w:rPr>
        <w:t xml:space="preserve">Key Facts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58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sz w:val="20"/>
                <w:szCs w:val="20"/>
              </w:rPr>
              <w:t xml:space="preserve">Venue Capacity</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Over 4,000 (auditorium: 3,042 seats + 1,212 standing + 358 balcony = 4,612; full building: 7,420)</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sz w:val="20"/>
                <w:szCs w:val="20"/>
              </w:rPr>
              <w:t xml:space="preserve">Lease Term</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29 years (Dec 3, 2018 – Dec 2, 2047)</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sz w:val="20"/>
                <w:szCs w:val="20"/>
              </w:rPr>
              <w:t xml:space="preserve">Fixed Minimum Rent</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$1,500,000/year ($125,000/month), CPI-adjusted every 5 years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sz w:val="20"/>
                <w:szCs w:val="20"/>
              </w:rPr>
              <w:t xml:space="preserve">Percentage Rent</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$2/ticket (first 200K), $3/ticket (200K+); adjusted to $2.42/$3.63 in 2024</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sz w:val="20"/>
                <w:szCs w:val="20"/>
              </w:rPr>
              <w:t xml:space="preserve">Sponsorship Split</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50% of NIT Sponsorship Revenues to Landlord</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sz w:val="20"/>
                <w:szCs w:val="20"/>
              </w:rPr>
              <w:t xml:space="preserve">Show Count Trend</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150 (2019) → 14 (2020-COVID) → 99 (2022) → 113 (2023) → 126 (2024) → 93 (2025 YTD)</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sz w:val="20"/>
                <w:szCs w:val="20"/>
              </w:rPr>
              <w:t xml:space="preserve">Expert Damages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$14,178,392 (Scherf Report, June 2025)</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sz w:val="20"/>
                <w:szCs w:val="20"/>
              </w:rPr>
              <w:t xml:space="preserve">Comprehensive Claim</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~$255,000,000 (including punitive damages, interest, consequential)</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sz w:val="20"/>
                <w:szCs w:val="20"/>
              </w:rPr>
              <w:t xml:space="preserve">Appraised Value</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$43 million (2025 Appraisal)</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sz w:val="20"/>
                <w:szCs w:val="20"/>
              </w:rPr>
              <w:t xml:space="preserve">Total Debt</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~$32.6M (potential $10M reduction to ~$22M)</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sz w:val="20"/>
                <w:szCs w:val="20"/>
              </w:rPr>
              <w:t xml:space="preserve">Equity Cushion</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~$10M current; ~$20M after debt reduction</w:t>
            </w:r>
          </w:p>
        </w:tc>
      </w:tr>
    </w:tbl>
    <w:p>
      <w:r>
        <w:br w:type="page"/>
      </w:r>
    </w:p>
    <w:p>
      <w:pPr>
        <w:pStyle w:val="Heading1"/>
        <w:spacing w:after="150" w:before="300"/>
      </w:pPr>
      <w:r>
        <w:rPr>
          <w:rFonts w:ascii="Arial" w:cs="Arial" w:eastAsia="Arial" w:hAnsi="Arial"/>
        </w:rPr>
        <w:t xml:space="preserve">Claims Summary</w:t>
      </w:r>
    </w:p>
    <w:p>
      <w:pPr>
        <w:pStyle w:val="Heading2"/>
        <w:spacing w:after="150" w:before="300"/>
      </w:pPr>
      <w:r>
        <w:rPr>
          <w:rFonts w:ascii="Arial" w:cs="Arial" w:eastAsia="Arial" w:hAnsi="Arial"/>
        </w:rPr>
        <w:t xml:space="preserve">Breach of Contract Claims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2400"/>
        <w:gridCol w:w="2360"/>
      </w:tblGrid>
      <w:tr>
        <w:tc>
          <w:tcPr>
            <w:tcW w:type="dxa" w:w="2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Claim</w:t>
            </w:r>
          </w:p>
        </w:tc>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Damages</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Strength</w:t>
            </w:r>
          </w:p>
        </w:tc>
        <w:tc>
          <w:tcPr>
            <w:tcW w:type="dxa" w:w="23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Key Evidence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Percentage Rent Shortfall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$3,312,711</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008000"/>
                <w:sz w:val="20"/>
                <w:szCs w:val="20"/>
              </w:rPr>
              <w:t xml:space="preserve">Very Strong</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Expert report, show count data, LN projections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Sponsorship Revenue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$1,668,090</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008000"/>
                <w:sz w:val="20"/>
                <w:szCs w:val="20"/>
              </w:rPr>
              <w:t xml:space="preserve">Very Strong</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Peikon letter, PIDC emails, Citi payments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Third-Party Rental Revenue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TBD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008000"/>
                <w:sz w:val="20"/>
                <w:szCs w:val="20"/>
              </w:rPr>
              <w:t xml:space="preserve">Strong</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45 events identified, 50% split owed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Real Estate Tax Obligations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TBD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008000"/>
                <w:sz w:val="20"/>
                <w:szCs w:val="20"/>
              </w:rPr>
              <w:t xml:space="preserve">Strong</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97.57% tenant share per lease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C-PACE Payments ($5.8M)</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$5,800,000</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008000"/>
                <w:sz w:val="20"/>
                <w:szCs w:val="20"/>
              </w:rPr>
              <w:t xml:space="preserve">Strong</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Paid year 1 then stopped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Good Faith Booking</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Included above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008000"/>
                <w:sz w:val="20"/>
                <w:szCs w:val="20"/>
              </w:rPr>
              <w:t xml:space="preserve">Very Strong</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Show decline vs. projections, DOJ case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Landlord Usage (15 days/yr)</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TBD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008000"/>
                <w:sz w:val="20"/>
                <w:szCs w:val="20"/>
              </w:rPr>
              <w:t xml:space="preserve">Strong</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Systematically denied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Ticket Allocation (20/show)</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TBD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008000"/>
                <w:sz w:val="20"/>
                <w:szCs w:val="20"/>
              </w:rPr>
              <w:t xml:space="preserve">Strong</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Not provided as required</w:t>
            </w:r>
          </w:p>
        </w:tc>
      </w:tr>
    </w:tbl>
    <w:p>
      <w:pPr>
        <w:spacing w:before="200"/>
      </w:pPr>
    </w:p>
    <w:p>
      <w:pPr>
        <w:pStyle w:val="Heading2"/>
        <w:spacing w:after="150" w:before="300"/>
      </w:pPr>
      <w:r>
        <w:rPr>
          <w:rFonts w:ascii="Arial" w:cs="Arial" w:eastAsia="Arial" w:hAnsi="Arial"/>
        </w:rPr>
        <w:t xml:space="preserve">Additional Claims</w:t>
      </w:r>
    </w:p>
    <w:p>
      <w:pPr>
        <w:pStyle w:val="ListParagraph"/>
        <w:numPr>
          <w:ilvl w:val="0"/>
          <w:numId w:val="2"/>
        </w:numPr>
        <w:spacing w:after="80"/>
      </w:pPr>
      <w:r>
        <w:rPr>
          <w:rFonts w:ascii="Arial" w:cs="Arial" w:eastAsia="Arial" w:hAnsi="Arial"/>
          <w:sz w:val="22"/>
          <w:szCs w:val="22"/>
        </w:rPr>
        <w:t xml:space="preserve">Tortious Interference: Live Nation diverted shows to competing venues while under-booking the Met</w:t>
      </w:r>
    </w:p>
    <w:p>
      <w:pPr>
        <w:pStyle w:val="ListParagraph"/>
        <w:numPr>
          <w:ilvl w:val="0"/>
          <w:numId w:val="2"/>
        </w:numPr>
        <w:spacing w:after="80"/>
      </w:pPr>
      <w:r>
        <w:rPr>
          <w:rFonts w:ascii="Arial" w:cs="Arial" w:eastAsia="Arial" w:hAnsi="Arial"/>
          <w:sz w:val="22"/>
          <w:szCs w:val="22"/>
        </w:rPr>
        <w:t xml:space="preserve">Unjust Enrichment: Collected and retained sponsorship revenues owed to Landlord</w:t>
      </w:r>
    </w:p>
    <w:p>
      <w:pPr>
        <w:pStyle w:val="ListParagraph"/>
        <w:numPr>
          <w:ilvl w:val="0"/>
          <w:numId w:val="2"/>
        </w:numPr>
        <w:spacing w:after="80"/>
      </w:pPr>
      <w:r>
        <w:rPr>
          <w:rFonts w:ascii="Arial" w:cs="Arial" w:eastAsia="Arial" w:hAnsi="Arial"/>
          <w:sz w:val="22"/>
          <w:szCs w:val="22"/>
        </w:rPr>
        <w:t xml:space="preserve">Conversion: Appropriated Plaintiffs' share of revenues</w:t>
      </w:r>
    </w:p>
    <w:p>
      <w:pPr>
        <w:pStyle w:val="ListParagraph"/>
        <w:numPr>
          <w:ilvl w:val="0"/>
          <w:numId w:val="2"/>
        </w:numPr>
        <w:spacing w:after="80"/>
      </w:pPr>
      <w:r>
        <w:rPr>
          <w:rFonts w:ascii="Arial" w:cs="Arial" w:eastAsia="Arial" w:hAnsi="Arial"/>
          <w:sz w:val="22"/>
          <w:szCs w:val="22"/>
        </w:rPr>
        <w:t xml:space="preserve">Antitrust Violations: DOJ complaint corroborates monopolistic behavior pattern</w:t>
      </w:r>
    </w:p>
    <w:p>
      <w:pPr>
        <w:pStyle w:val="ListParagraph"/>
        <w:numPr>
          <w:ilvl w:val="0"/>
          <w:numId w:val="2"/>
        </w:numPr>
        <w:spacing w:after="80"/>
      </w:pPr>
      <w:r>
        <w:rPr>
          <w:rFonts w:ascii="Arial" w:cs="Arial" w:eastAsia="Arial" w:hAnsi="Arial"/>
          <w:sz w:val="22"/>
          <w:szCs w:val="22"/>
        </w:rPr>
        <w:t xml:space="preserve">Punitive Damages: $50M claimed based on willful and systematic conduct</w:t>
      </w:r>
    </w:p>
    <w:p>
      <w:r>
        <w:br w:type="page"/>
      </w:r>
    </w:p>
    <w:p>
      <w:pPr>
        <w:pStyle w:val="Heading1"/>
        <w:spacing w:after="150" w:before="300"/>
      </w:pPr>
      <w:r>
        <w:rPr>
          <w:rFonts w:ascii="Arial" w:cs="Arial" w:eastAsia="Arial" w:hAnsi="Arial"/>
        </w:rPr>
        <w:t xml:space="preserve">Live Nation's Pre-Lease Representations</w:t>
      </w:r>
    </w:p>
    <w:p>
      <w:pPr>
        <w:spacing w:after="120"/>
      </w:pPr>
      <w:r>
        <w:rPr>
          <w:rFonts w:ascii="Arial" w:cs="Arial" w:eastAsia="Arial" w:hAnsi="Arial"/>
          <w:sz w:val="22"/>
          <w:szCs w:val="22"/>
        </w:rPr>
        <w:t xml:space="preserve">These representations to EBRM's lenders (Fulton Bank and PIDC) are critical evidence because they establish what Live Nation promised — and subsequently failed to deliver:</w:t>
      </w:r>
    </w:p>
    <w:p>
      <w:pPr>
        <w:pStyle w:val="Heading2"/>
        <w:spacing w:after="150" w:before="300"/>
      </w:pPr>
      <w:r>
        <w:rPr>
          <w:rFonts w:ascii="Arial" w:cs="Arial" w:eastAsia="Arial" w:hAnsi="Arial"/>
        </w:rPr>
        <w:t xml:space="preserve">Dan Casale (CFO, Live Nation Philadelphia)</w:t>
      </w:r>
    </w:p>
    <w:p>
      <w:pPr>
        <w:pStyle w:val="ListParagraph"/>
        <w:numPr>
          <w:ilvl w:val="0"/>
          <w:numId w:val="2"/>
        </w:numPr>
        <w:spacing w:after="80"/>
      </w:pPr>
      <w:r>
        <w:rPr>
          <w:rFonts w:ascii="Arial" w:cs="Arial" w:eastAsia="Arial" w:hAnsi="Arial"/>
          <w:sz w:val="22"/>
          <w:szCs w:val="22"/>
        </w:rPr>
        <w:t xml:space="preserve">September 27, 2017: Venue will "exceed all expectations in terms of calendar event penetration and ticket sales"</w:t>
      </w:r>
    </w:p>
    <w:p>
      <w:pPr>
        <w:pStyle w:val="ListParagraph"/>
        <w:numPr>
          <w:ilvl w:val="0"/>
          <w:numId w:val="2"/>
        </w:numPr>
        <w:spacing w:after="80"/>
      </w:pPr>
      <w:r>
        <w:rPr>
          <w:rFonts w:ascii="Arial" w:cs="Arial" w:eastAsia="Arial" w:hAnsi="Arial"/>
          <w:sz w:val="22"/>
          <w:szCs w:val="22"/>
        </w:rPr>
        <w:t xml:space="preserve">November 2017 (to Fulton Bank): Live Nation holds ~80% market share in Philadelphia</w:t>
      </w:r>
    </w:p>
    <w:p>
      <w:pPr>
        <w:pStyle w:val="ListParagraph"/>
        <w:numPr>
          <w:ilvl w:val="0"/>
          <w:numId w:val="2"/>
        </w:numPr>
        <w:spacing w:after="80"/>
      </w:pPr>
      <w:r>
        <w:rPr>
          <w:rFonts w:ascii="Arial" w:cs="Arial" w:eastAsia="Arial" w:hAnsi="Arial"/>
          <w:sz w:val="22"/>
          <w:szCs w:val="22"/>
        </w:rPr>
        <w:t xml:space="preserve">November 2017: "Our gross sales could exceed $50 million" for the Met</w:t>
      </w:r>
    </w:p>
    <w:p>
      <w:pPr>
        <w:pStyle w:val="ListParagraph"/>
        <w:numPr>
          <w:ilvl w:val="0"/>
          <w:numId w:val="2"/>
        </w:numPr>
        <w:spacing w:after="80"/>
      </w:pPr>
      <w:r>
        <w:rPr>
          <w:rFonts w:ascii="Arial" w:cs="Arial" w:eastAsia="Arial" w:hAnsi="Arial"/>
          <w:sz w:val="22"/>
          <w:szCs w:val="22"/>
        </w:rPr>
        <w:t xml:space="preserve">November 2017: Show count grew 34% over 3 years; net income grew 23%</w:t>
      </w:r>
    </w:p>
    <w:p>
      <w:pPr>
        <w:pStyle w:val="ListParagraph"/>
        <w:numPr>
          <w:ilvl w:val="0"/>
          <w:numId w:val="2"/>
        </w:numPr>
        <w:spacing w:after="80"/>
      </w:pPr>
      <w:r>
        <w:rPr>
          <w:rFonts w:ascii="Arial" w:cs="Arial" w:eastAsia="Arial" w:hAnsi="Arial"/>
          <w:sz w:val="22"/>
          <w:szCs w:val="22"/>
        </w:rPr>
        <w:t xml:space="preserve">Projected Met would follow Beacon Theatre and Radio City Music Hall patterns: 200+ events annually</w:t>
      </w:r>
    </w:p>
    <w:p>
      <w:pPr>
        <w:pStyle w:val="ListParagraph"/>
        <w:numPr>
          <w:ilvl w:val="0"/>
          <w:numId w:val="2"/>
        </w:numPr>
        <w:spacing w:after="80"/>
      </w:pPr>
      <w:r>
        <w:rPr>
          <w:rFonts w:ascii="Arial" w:cs="Arial" w:eastAsia="Arial" w:hAnsi="Arial"/>
          <w:sz w:val="22"/>
          <w:szCs w:val="22"/>
        </w:rPr>
        <w:t xml:space="preserve">Initially forecasted 150+ shows/year and 450,000–500,000 annual ticket sales</w:t>
      </w:r>
    </w:p>
    <w:p>
      <w:pPr>
        <w:pStyle w:val="Heading2"/>
        <w:spacing w:after="150" w:before="300"/>
      </w:pPr>
      <w:r>
        <w:rPr>
          <w:rFonts w:ascii="Arial" w:cs="Arial" w:eastAsia="Arial" w:hAnsi="Arial"/>
        </w:rPr>
        <w:t xml:space="preserve">Andy Peikon (SVP, Live Nation Sponsorship)</w:t>
      </w:r>
    </w:p>
    <w:p>
      <w:pPr>
        <w:pStyle w:val="ListParagraph"/>
        <w:numPr>
          <w:ilvl w:val="0"/>
          <w:numId w:val="2"/>
        </w:numPr>
        <w:spacing w:after="80"/>
      </w:pPr>
      <w:r>
        <w:rPr>
          <w:rFonts w:ascii="Arial" w:cs="Arial" w:eastAsia="Arial" w:hAnsi="Arial"/>
          <w:sz w:val="22"/>
          <w:szCs w:val="22"/>
        </w:rPr>
        <w:t xml:space="preserve">November 17, 2017 (to Fulton Bank): Projected ticket sales ~400,000 in first year (noting "the Met 4000" capacity)</w:t>
      </w:r>
    </w:p>
    <w:p>
      <w:pPr>
        <w:pStyle w:val="ListParagraph"/>
        <w:numPr>
          <w:ilvl w:val="0"/>
          <w:numId w:val="2"/>
        </w:numPr>
        <w:spacing w:after="80"/>
      </w:pPr>
      <w:r>
        <w:rPr>
          <w:rFonts w:ascii="Arial" w:cs="Arial" w:eastAsia="Arial" w:hAnsi="Arial"/>
          <w:sz w:val="22"/>
          <w:szCs w:val="22"/>
        </w:rPr>
        <w:t xml:space="preserve">Sponsorship revenue "close to or in the seven figures" expected</w:t>
      </w:r>
    </w:p>
    <w:p>
      <w:pPr>
        <w:pStyle w:val="ListParagraph"/>
        <w:numPr>
          <w:ilvl w:val="0"/>
          <w:numId w:val="2"/>
        </w:numPr>
        <w:spacing w:after="80"/>
      </w:pPr>
      <w:r>
        <w:rPr>
          <w:rFonts w:ascii="Arial" w:cs="Arial" w:eastAsia="Arial" w:hAnsi="Arial"/>
          <w:sz w:val="22"/>
          <w:szCs w:val="22"/>
        </w:rPr>
        <w:t xml:space="preserve">Named SAP, Citibank, Cisco, Amazon, Panasonic, Pepsi as prospect sponsors</w:t>
      </w:r>
    </w:p>
    <w:p>
      <w:pPr>
        <w:pStyle w:val="ListParagraph"/>
        <w:numPr>
          <w:ilvl w:val="0"/>
          <w:numId w:val="2"/>
        </w:numPr>
        <w:spacing w:after="80"/>
      </w:pPr>
      <w:r>
        <w:rPr>
          <w:rFonts w:ascii="Arial" w:cs="Arial" w:eastAsia="Arial" w:hAnsi="Arial"/>
          <w:sz w:val="22"/>
          <w:szCs w:val="22"/>
        </w:rPr>
        <w:t xml:space="preserve">$7M+ in sponsorship revenue generated in Philadelphia market over prior two years</w:t>
      </w:r>
    </w:p>
    <w:p>
      <w:pPr>
        <w:pStyle w:val="ListParagraph"/>
        <w:numPr>
          <w:ilvl w:val="0"/>
          <w:numId w:val="2"/>
        </w:numPr>
        <w:spacing w:after="80"/>
      </w:pPr>
      <w:r>
        <w:rPr>
          <w:rFonts w:ascii="Arial" w:cs="Arial" w:eastAsia="Arial" w:hAnsi="Arial"/>
          <w:sz w:val="22"/>
          <w:szCs w:val="22"/>
        </w:rPr>
        <w:t xml:space="preserve">Planned "Sponsorship Roadshow" at The Met for December 2017</w:t>
      </w:r>
    </w:p>
    <w:p>
      <w:pPr>
        <w:pStyle w:val="Heading2"/>
        <w:spacing w:after="150" w:before="300"/>
      </w:pPr>
      <w:r>
        <w:rPr>
          <w:rFonts w:ascii="Arial" w:cs="Arial" w:eastAsia="Arial" w:hAnsi="Arial"/>
        </w:rPr>
        <w:t xml:space="preserve">Geoffrey Gordon (President, Live Nation Philadelphia)</w:t>
      </w:r>
    </w:p>
    <w:p>
      <w:pPr>
        <w:pStyle w:val="ListParagraph"/>
        <w:numPr>
          <w:ilvl w:val="0"/>
          <w:numId w:val="2"/>
        </w:numPr>
        <w:spacing w:after="80"/>
      </w:pPr>
      <w:r>
        <w:rPr>
          <w:rFonts w:ascii="Arial" w:cs="Arial" w:eastAsia="Arial" w:hAnsi="Arial"/>
          <w:sz w:val="22"/>
          <w:szCs w:val="22"/>
        </w:rPr>
        <w:t xml:space="preserve">Responded "This is ridiculous" when Fulton Bank asked for sponsorship details — revealing internal resistance to transparency with lenders</w:t>
      </w:r>
    </w:p>
    <w:p>
      <w:pPr>
        <w:pStyle w:val="ListParagraph"/>
        <w:numPr>
          <w:ilvl w:val="0"/>
          <w:numId w:val="2"/>
        </w:numPr>
        <w:spacing w:after="80"/>
      </w:pPr>
      <w:r>
        <w:rPr>
          <w:rFonts w:ascii="Arial" w:cs="Arial" w:eastAsia="Arial" w:hAnsi="Arial"/>
          <w:sz w:val="22"/>
          <w:szCs w:val="22"/>
        </w:rPr>
        <w:t xml:space="preserve">Made in America festival "conceived by our president, Geoff Gordon" — figures included in financials</w:t>
      </w:r>
    </w:p>
    <w:p>
      <w:r>
        <w:br w:type="page"/>
      </w:r>
    </w:p>
    <w:p>
      <w:pPr>
        <w:pStyle w:val="Heading1"/>
        <w:spacing w:after="150" w:before="300"/>
      </w:pPr>
      <w:r>
        <w:rPr>
          <w:rFonts w:ascii="Arial" w:cs="Arial" w:eastAsia="Arial" w:hAnsi="Arial"/>
        </w:rPr>
        <w:t xml:space="preserve">DOJ Antitrust Action: Strategic Significance</w:t>
      </w:r>
    </w:p>
    <w:p>
      <w:pPr>
        <w:spacing w:after="120"/>
      </w:pPr>
      <w:r>
        <w:rPr>
          <w:rFonts w:ascii="Arial" w:cs="Arial" w:eastAsia="Arial" w:hAnsi="Arial"/>
          <w:sz w:val="22"/>
          <w:szCs w:val="22"/>
        </w:rPr>
        <w:t xml:space="preserve">The U.S. Department of Justice filed its antitrust complaint against Live Nation/Ticketmaster in 2024. This federal action is a powerful external validation of EBRM's claims. Key parallels include:</w:t>
      </w:r>
    </w:p>
    <w:p>
      <w:pPr>
        <w:pStyle w:val="ListParagraph"/>
        <w:numPr>
          <w:ilvl w:val="0"/>
          <w:numId w:val="2"/>
        </w:numPr>
        <w:spacing w:after="80"/>
      </w:pPr>
      <w:r>
        <w:rPr>
          <w:rFonts w:ascii="Arial" w:cs="Arial" w:eastAsia="Arial" w:hAnsi="Arial"/>
          <w:sz w:val="22"/>
          <w:szCs w:val="22"/>
        </w:rPr>
        <w:t xml:space="preserve">Market Dominance: DOJ alleges Live Nation controls 80%+ of major venue ticketing — matching Casale's own admission of 80% market share in Philadelphia</w:t>
      </w:r>
    </w:p>
    <w:p>
      <w:pPr>
        <w:pStyle w:val="ListParagraph"/>
        <w:numPr>
          <w:ilvl w:val="0"/>
          <w:numId w:val="2"/>
        </w:numPr>
        <w:spacing w:after="80"/>
      </w:pPr>
      <w:r>
        <w:rPr>
          <w:rFonts w:ascii="Arial" w:cs="Arial" w:eastAsia="Arial" w:hAnsi="Arial"/>
          <w:sz w:val="22"/>
          <w:szCs w:val="22"/>
        </w:rPr>
        <w:t xml:space="preserve">Self-Preferencing: DOJ alleges Live Nation directs content to its own venues at the expense of independent ones — exactly what happened at the Met as show counts declined while Live Nation expanded elsewhere</w:t>
      </w:r>
    </w:p>
    <w:p>
      <w:pPr>
        <w:pStyle w:val="ListParagraph"/>
        <w:numPr>
          <w:ilvl w:val="0"/>
          <w:numId w:val="2"/>
        </w:numPr>
        <w:spacing w:after="80"/>
      </w:pPr>
      <w:r>
        <w:rPr>
          <w:rFonts w:ascii="Arial" w:cs="Arial" w:eastAsia="Arial" w:hAnsi="Arial"/>
          <w:sz w:val="22"/>
          <w:szCs w:val="22"/>
        </w:rPr>
        <w:t xml:space="preserve">Exclusive Dealing: DOJ alleges Live Nation uses its ticketing platform to lock venues into exclusive arrangements</w:t>
      </w:r>
    </w:p>
    <w:p>
      <w:pPr>
        <w:pStyle w:val="ListParagraph"/>
        <w:numPr>
          <w:ilvl w:val="0"/>
          <w:numId w:val="2"/>
        </w:numPr>
        <w:spacing w:after="80"/>
      </w:pPr>
      <w:r>
        <w:rPr>
          <w:rFonts w:ascii="Arial" w:cs="Arial" w:eastAsia="Arial" w:hAnsi="Arial"/>
          <w:sz w:val="22"/>
          <w:szCs w:val="22"/>
        </w:rPr>
        <w:t xml:space="preserve">Threats Against Venues: DOJ documents pattern of retaliation against venue owners who challenge Live Nation</w:t>
      </w:r>
    </w:p>
    <w:p>
      <w:pPr>
        <w:spacing w:after="120"/>
      </w:pPr>
      <w:r>
        <w:rPr>
          <w:rFonts w:ascii="Arial" w:cs="Arial" w:eastAsia="Arial" w:hAnsi="Arial"/>
          <w:b/>
          <w:bCs/>
          <w:sz w:val="22"/>
          <w:szCs w:val="22"/>
        </w:rPr>
        <w:t xml:space="preserve">The DOJ case transforms EBRM's claims from a bilateral contract dispute into part of a documented national pattern of anti-competitive behavior.</w:t>
      </w:r>
    </w:p>
    <w:p>
      <w:pPr>
        <w:pStyle w:val="Heading1"/>
        <w:spacing w:after="150" w:before="300"/>
      </w:pPr>
      <w:r>
        <w:rPr>
          <w:rFonts w:ascii="Arial" w:cs="Arial" w:eastAsia="Arial" w:hAnsi="Arial"/>
        </w:rPr>
        <w:t xml:space="preserve">Financial Position &amp; Debt Reduction</w:t>
      </w:r>
    </w:p>
    <w:p>
      <w:pPr>
        <w:spacing w:after="120"/>
      </w:pPr>
      <w:r>
        <w:rPr>
          <w:rFonts w:ascii="Arial" w:cs="Arial" w:eastAsia="Arial" w:hAnsi="Arial"/>
          <w:sz w:val="22"/>
          <w:szCs w:val="22"/>
        </w:rPr>
        <w:t xml:space="preserve">The property's financial structure presents a significant opportunity for value creation through debt reduction: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Current</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Post-Reduction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Total Debt</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~$32.6M</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~$22M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Debt Reduction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008000"/>
                <w:sz w:val="20"/>
                <w:szCs w:val="20"/>
              </w:rPr>
              <w:t xml:space="preserve">$10M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Appraised Value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$43M</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$43M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Equity Cushion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~$10M</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008000"/>
                <w:sz w:val="20"/>
                <w:szCs w:val="20"/>
              </w:rPr>
              <w:t xml:space="preserve">~$20M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Potential Value (comparable venues)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$100M+</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$100M+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Potential Equity at Full Value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$67M+</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008000"/>
                <w:sz w:val="20"/>
                <w:szCs w:val="20"/>
              </w:rPr>
              <w:t xml:space="preserve">$78M+</w:t>
            </w:r>
          </w:p>
        </w:tc>
      </w:tr>
    </w:tbl>
    <w:p>
      <w:r>
        <w:br w:type="page"/>
      </w:r>
    </w:p>
    <w:p>
      <w:pPr>
        <w:pStyle w:val="Heading1"/>
        <w:spacing w:after="150" w:before="300"/>
      </w:pPr>
      <w:r>
        <w:rPr>
          <w:rFonts w:ascii="Arial" w:cs="Arial" w:eastAsia="Arial" w:hAnsi="Arial"/>
        </w:rPr>
        <w:t xml:space="preserve">Key Talking Points</w:t>
      </w:r>
    </w:p>
    <w:p>
      <w:pPr>
        <w:pStyle w:val="ListParagraph"/>
        <w:numPr>
          <w:ilvl w:val="0"/>
          <w:numId w:val="3"/>
        </w:numPr>
        <w:spacing w:after="120"/>
      </w:pPr>
      <w:r>
        <w:rPr>
          <w:rFonts w:ascii="Arial" w:cs="Arial" w:eastAsia="Arial" w:hAnsi="Arial"/>
          <w:sz w:val="22"/>
          <w:szCs w:val="22"/>
        </w:rPr>
        <w:t xml:space="preserve">Live Nation made specific, quantified representations to our lenders projecting 150+ shows/year, 450K-500K annual ticket sales, and seven-figure sponsorship revenues. These were not casual estimates — they were material representations that induced $32+ million in financing.</w:t>
      </w:r>
    </w:p>
    <w:p>
      <w:pPr>
        <w:pStyle w:val="ListParagraph"/>
        <w:numPr>
          <w:ilvl w:val="0"/>
          <w:numId w:val="3"/>
        </w:numPr>
        <w:spacing w:after="120"/>
      </w:pPr>
      <w:r>
        <w:rPr>
          <w:rFonts w:ascii="Arial" w:cs="Arial" w:eastAsia="Arial" w:hAnsi="Arial"/>
          <w:sz w:val="22"/>
          <w:szCs w:val="22"/>
        </w:rPr>
        <w:t xml:space="preserve">Show counts have never returned to the promised 150+ level (except in 2019, the first full year). The decline from 150 to sub-100 shows directly contradicts Live Nation's lease obligation to use "good faith efforts" to book events.</w:t>
      </w:r>
    </w:p>
    <w:p>
      <w:pPr>
        <w:pStyle w:val="ListParagraph"/>
        <w:numPr>
          <w:ilvl w:val="0"/>
          <w:numId w:val="3"/>
        </w:numPr>
        <w:spacing w:after="120"/>
      </w:pPr>
      <w:r>
        <w:rPr>
          <w:rFonts w:ascii="Arial" w:cs="Arial" w:eastAsia="Arial" w:hAnsi="Arial"/>
          <w:sz w:val="22"/>
          <w:szCs w:val="22"/>
        </w:rPr>
        <w:t xml:space="preserve">The DOJ antitrust complaint confirms that Live Nation's behavior at the Met is not an isolated incident — it is part of a documented national pattern of monopolistic self-dealing. This transforms our case from a contract dispute into an antitrust matter.</w:t>
      </w:r>
    </w:p>
    <w:p>
      <w:pPr>
        <w:pStyle w:val="ListParagraph"/>
        <w:numPr>
          <w:ilvl w:val="0"/>
          <w:numId w:val="3"/>
        </w:numPr>
        <w:spacing w:after="120"/>
      </w:pPr>
      <w:r>
        <w:rPr>
          <w:rFonts w:ascii="Arial" w:cs="Arial" w:eastAsia="Arial" w:hAnsi="Arial"/>
          <w:sz w:val="22"/>
          <w:szCs w:val="22"/>
        </w:rPr>
        <w:t xml:space="preserve">The expert report conservatively quantifies $14.1 million in damages. The comprehensive lost revenues analysis, including punitive damages and interest, supports a total claim of approximately $255 million.</w:t>
      </w:r>
    </w:p>
    <w:p>
      <w:pPr>
        <w:pStyle w:val="ListParagraph"/>
        <w:numPr>
          <w:ilvl w:val="0"/>
          <w:numId w:val="3"/>
        </w:numPr>
        <w:spacing w:after="120"/>
      </w:pPr>
      <w:r>
        <w:rPr>
          <w:rFonts w:ascii="Arial" w:cs="Arial" w:eastAsia="Arial" w:hAnsi="Arial"/>
          <w:sz w:val="22"/>
          <w:szCs w:val="22"/>
        </w:rPr>
        <w:t xml:space="preserve">The Met's auditorium capacity of 4,612 (3,042 fixed seats + 1,212 standing + 358 balcony seats per architect Ruthie Embry's certification) exceeds Live Nation's own 4,000-person reference in their financial projections, confirming the venue can support the revenue levels that were promised.</w:t>
      </w:r>
    </w:p>
    <w:p>
      <w:pPr>
        <w:pStyle w:val="ListParagraph"/>
        <w:numPr>
          <w:ilvl w:val="0"/>
          <w:numId w:val="3"/>
        </w:numPr>
        <w:spacing w:after="120"/>
      </w:pPr>
      <w:r>
        <w:rPr>
          <w:rFonts w:ascii="Arial" w:cs="Arial" w:eastAsia="Arial" w:hAnsi="Arial"/>
          <w:sz w:val="22"/>
          <w:szCs w:val="22"/>
        </w:rPr>
        <w:t xml:space="preserve">The $10 million debt reduction opportunity would double the equity cushion from $10M to $20M, significantly strengthening the property's financial position during litigation and enhancing settlement leverage.</w:t>
      </w:r>
    </w:p>
    <w:p>
      <w:pPr>
        <w:pStyle w:val="Heading1"/>
        <w:spacing w:after="150" w:before="300"/>
      </w:pPr>
      <w:r>
        <w:rPr>
          <w:rFonts w:ascii="Arial" w:cs="Arial" w:eastAsia="Arial" w:hAnsi="Arial"/>
        </w:rPr>
        <w:t xml:space="preserve">Recommended Action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4360"/>
        <w:gridCol w:w="1800"/>
        <w:gridCol w:w="1200"/>
        <w:gridCol w:w="1600"/>
      </w:tblGrid>
      <w:tr>
        <w:tc>
          <w:tcPr>
            <w:tcW w:type="dxa" w:w="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43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Action Item</w:t>
            </w:r>
          </w:p>
        </w:tc>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Owner</w:t>
            </w:r>
          </w:p>
        </w:tc>
        <w:tc>
          <w:tcPr>
            <w:tcW w:type="dxa" w:w="1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Priority</w:t>
            </w:r>
          </w:p>
        </w:tc>
        <w:tc>
          <w:tcPr>
            <w:tcW w:type="dxa" w:w="1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Status</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Complete discovery on sponsorship revenues — obtain full Citi payment history and all sponsor agreements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Legal Counsel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C00000"/>
                <w:sz w:val="20"/>
                <w:szCs w:val="20"/>
              </w:rPr>
              <w:t xml:space="preserve">HIGH</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Open</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2</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Obtain complete third-party rental revenue accounting for all 45+ events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Legal Counsel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C00000"/>
                <w:sz w:val="20"/>
                <w:szCs w:val="20"/>
              </w:rPr>
              <w:t xml:space="preserve">HIGH</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Open</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3</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Request Live Nation internal booking records showing show allocation decisions across Philadelphia venues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Legal Counsel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C00000"/>
                <w:sz w:val="20"/>
                <w:szCs w:val="20"/>
              </w:rPr>
              <w:t xml:space="preserve">HIGH</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Open</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4</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Update expert report with new discovery materials as they become available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Asterion/Scherf</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C00000"/>
                <w:sz w:val="20"/>
                <w:szCs w:val="20"/>
              </w:rPr>
              <w:t xml:space="preserve">HIGH</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Pending</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5</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Execute $10M debt reduction to strengthen financial position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EBRM Finance</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C00000"/>
                <w:sz w:val="20"/>
                <w:szCs w:val="20"/>
              </w:rPr>
              <w:t xml:space="preserve">HIGH</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Open</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6</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Monitor DOJ antitrust case developments for additional corroborating evidence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Legal Counsel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FF8C00"/>
                <w:sz w:val="20"/>
                <w:szCs w:val="20"/>
              </w:rPr>
              <w:t xml:space="preserve">MEDIUM</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Ongoing</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7</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Prepare settlement demand incorporating all damage categories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Legal Counsel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FF8C00"/>
                <w:sz w:val="20"/>
                <w:szCs w:val="20"/>
              </w:rPr>
              <w:t xml:space="preserve">MEDIUM</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Open</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8</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Update website with exhibit links, corrected capacity (4,612), and financial metrics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EBRM</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FF8C00"/>
                <w:sz w:val="20"/>
                <w:szCs w:val="20"/>
              </w:rPr>
              <w:t xml:space="preserve">MEDIUM</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Complete</w:t>
            </w:r>
          </w:p>
        </w:tc>
      </w:tr>
    </w:tbl>
    <w:p>
      <w:pPr>
        <w:pStyle w:val="Heading1"/>
        <w:spacing w:after="150" w:before="300"/>
      </w:pPr>
      <w:r>
        <w:rPr>
          <w:rFonts w:ascii="Arial" w:cs="Arial" w:eastAsia="Arial" w:hAnsi="Arial"/>
        </w:rPr>
        <w:t xml:space="preserve">Exhibit Inventory</w:t>
      </w:r>
    </w:p>
    <w:p>
      <w:pPr>
        <w:spacing w:after="120"/>
      </w:pPr>
      <w:r>
        <w:rPr>
          <w:rFonts w:ascii="Arial" w:cs="Arial" w:eastAsia="Arial" w:hAnsi="Arial"/>
          <w:sz w:val="22"/>
          <w:szCs w:val="22"/>
        </w:rPr>
        <w:t xml:space="preserve">The following exhibits are available to support the case. All documents have been digitized and are accessible in the project folder: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4960"/>
        <w:gridCol w:w="4000"/>
      </w:tblGrid>
      <w:tr>
        <w:tc>
          <w:tcPr>
            <w:tcW w:type="dxa" w:w="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49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Document</w:t>
            </w:r>
          </w:p>
        </w:tc>
        <w:tc>
          <w:tcPr>
            <w:tcW w:type="dxa" w:w="4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Fully Executed Lease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Event Center Lease, April 24, 2017</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2</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Lease Commencement Agreement</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December 2018, confirms start date and punchlist</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3</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Verified Complaint</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Plaintiffs' complaint with all claims</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4</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Defendants' Answer</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Live Nation's formal response (Nov 2020)</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5</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Expert Report Draft</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Scherf CPA, June 2025 — $14.1M damages</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6</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DOJ Complaint</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Antitrust action vs. Live Nation/Ticketmaster</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7</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2025 Appraisal Report</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$43M property valuation</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8</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Architect Capacity Email</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Embry, Nov 2018 — 4,612+ capacity</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9</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Embry Certification</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Jan 2026 — capacity vs Required Capacity</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10</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Casale Ticket Sales Analysis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Sept 2017 feasibility study</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11</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Casale/Fulton Bank Emails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Nov 2017 — financial projections to lender</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12</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Peikon Sponsorship Letter</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Nov 2017 — seven-figure sponsorship projection</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13</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Gordon Sponsorship Email</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Nov 2017 — resistance to transparency</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14</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PIDC Sponsorship Email Chain</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Mar 2019 — NIT sponsorship scope dispute</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15</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SVOG Eligibility Documentation</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COVID relief ineligibility due to LN structure</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16</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Lost Revenues Analysis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$255M comprehensive damages projection</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17</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Percentage Rent Data</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Show counts and ticket revenue 2018-2026</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18</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Legal/Professional Fees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Litigation cost tracking 2019-2025</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19</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GBOX9 Premium Box Memo</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21-seat box — $410K+ value for 90 shows</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20</w:t>
            </w:r>
          </w:p>
        </w:tc>
        <w:tc>
          <w:tcPr>
            <w:tcW w:type="dxa" w:w="49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Eric's Summary/Overview</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sz w:val="20"/>
                <w:szCs w:val="20"/>
              </w:rPr>
              <w:t xml:space="preserve">Narrative case overview</w:t>
            </w:r>
          </w:p>
        </w:tc>
      </w:tr>
    </w:tbl>
    <w:p>
      <w:pPr>
        <w:pBdr>
          <w:top w:val="single" w:color="1B3A5C" w:sz="4" w:space="8"/>
        </w:pBdr>
        <w:spacing w:before="400"/>
      </w:pPr>
      <w:r>
        <w:rPr>
          <w:rFonts w:ascii="Arial" w:cs="Arial" w:eastAsia="Arial" w:hAnsi="Arial"/>
          <w:i/>
          <w:iCs/>
          <w:color w:val="666666"/>
          <w:sz w:val="18"/>
          <w:szCs w:val="18"/>
        </w:rPr>
        <w:t xml:space="preserve">This briefing is prepared for informational purposes and should be reviewed by qualified legal counsel. It does not constitute legal advice.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jc w:val="center"/>
    </w:pPr>
    <w:r>
      <w:rPr>
        <w:rFonts w:ascii="Arial" w:cs="Arial" w:eastAsia="Arial" w:hAnsi="Arial"/>
        <w:color w:val="999999"/>
        <w:sz w:val="16"/>
        <w:szCs w:val="16"/>
      </w:rPr>
      <w:t xml:space="preserve">EBRM v. Live Nation — Meeting Brief  |  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6" w:space="1"/>
      </w:pBdr>
      <w:jc w:val="right"/>
    </w:pPr>
    <w:r>
      <w:rPr>
        <w:rFonts w:ascii="Arial" w:cs="Arial" w:eastAsia="Arial" w:hAnsi="Arial"/>
        <w:i/>
        <w:iCs/>
        <w:color w:val="999999"/>
        <w:sz w:val="16"/>
        <w:szCs w:val="16"/>
      </w:rPr>
      <w:t xml:space="preserve">PRIVILEGED &amp;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5C"/>
      <w:sz w:val="32"/>
      <w:szCs w:val="32"/>
    </w:rPr>
  </w:style>
  <w:style w:type="paragraph" w:styleId="Heading2">
    <w:name w:val="Heading 2"/>
    <w:basedOn w:val="Normal"/>
    <w:next w:val="Normal"/>
    <w:qFormat/>
    <w:pPr>
      <w:spacing w:after="150" w:before="240"/>
      <w:outlineLvl w:val="1"/>
    </w:pPr>
    <w:rPr>
      <w:rFonts w:ascii="Arial" w:cs="Arial" w:eastAsia="Arial" w:hAnsi="Arial"/>
      <w:b/>
      <w:bCs/>
      <w:color w:val="2E5A8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3B7DD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2026-03-05T06:48:56.421Z</dcterms:created>
  <dcterms:modified xsi:type="dcterms:W3CDTF">2026-03-05T06:48:56.422Z</dcterms:modified>
</cp:coreProperties>
</file>

<file path=docProps/custom.xml><?xml version="1.0" encoding="utf-8"?>
<Properties xmlns="http://schemas.openxmlformats.org/officeDocument/2006/custom-properties" xmlns:vt="http://schemas.openxmlformats.org/officeDocument/2006/docPropsVTypes"/>
</file>