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jc w:val="center"/>
      </w:pPr>
    </w:p>
    <w:p>
      <w:pPr>
        <w:spacing w:after="100"/>
        <w:jc w:val="center"/>
      </w:pPr>
      <w:r>
        <w:rPr>
          <w:rFonts w:ascii="Arial" w:cs="Arial" w:eastAsia="Arial" w:hAnsi="Arial"/>
          <w:b/>
          <w:bCs/>
          <w:color w:val="1B3A5C"/>
          <w:sz w:val="44"/>
          <w:szCs w:val="44"/>
        </w:rPr>
        <w:t xml:space="preserve">LEGAL RISK ASSESSMENT</w:t>
      </w:r>
    </w:p>
    <w:p>
      <w:pPr>
        <w:spacing w:after="400"/>
        <w:jc w:val="center"/>
      </w:pPr>
      <w:r>
        <w:rPr>
          <w:rFonts w:ascii="Arial" w:cs="Arial" w:eastAsia="Arial" w:hAnsi="Arial"/>
          <w:color w:val="C00000"/>
          <w:sz w:val="24"/>
          <w:szCs w:val="24"/>
        </w:rPr>
        <w:t xml:space="preserve">PRIVILEGED &amp; CONFIDENTIAL</w:t>
      </w:r>
    </w:p>
    <w:p>
      <w:pPr>
        <w:spacing w:after="100"/>
        <w:jc w:val="center"/>
      </w:pPr>
      <w:r>
        <w:rPr>
          <w:rFonts w:ascii="Arial" w:cs="Arial" w:eastAsia="Arial" w:hAnsi="Arial"/>
          <w:b/>
          <w:bCs/>
          <w:sz w:val="28"/>
          <w:szCs w:val="28"/>
        </w:rPr>
        <w:t xml:space="preserve">Holy Ghost Met Master Tenant LLC et al.</w:t>
      </w:r>
    </w:p>
    <w:p>
      <w:pPr>
        <w:spacing w:after="100"/>
        <w:jc w:val="center"/>
      </w:pPr>
      <w:r>
        <w:rPr>
          <w:rFonts w:ascii="Arial" w:cs="Arial" w:eastAsia="Arial" w:hAnsi="Arial"/>
          <w:i/>
          <w:iCs/>
          <w:sz w:val="24"/>
          <w:szCs w:val="24"/>
        </w:rPr>
        <w:t xml:space="preserve">v.</w:t>
      </w:r>
    </w:p>
    <w:p>
      <w:pPr>
        <w:spacing w:after="400"/>
        <w:jc w:val="center"/>
      </w:pPr>
      <w:r>
        <w:rPr>
          <w:rFonts w:ascii="Arial" w:cs="Arial" w:eastAsia="Arial" w:hAnsi="Arial"/>
          <w:b/>
          <w:bCs/>
          <w:sz w:val="28"/>
          <w:szCs w:val="28"/>
        </w:rPr>
        <w:t xml:space="preserve">Live Nation Entertainment, Inc. et al.</w:t>
      </w:r>
    </w:p>
    <w:p>
      <w:pPr>
        <w:spacing w:after="100"/>
        <w:jc w:val="center"/>
      </w:pPr>
      <w:r>
        <w:rPr>
          <w:rFonts w:ascii="Arial" w:cs="Arial" w:eastAsia="Arial" w:hAnsi="Arial"/>
          <w:sz w:val="22"/>
          <w:szCs w:val="22"/>
        </w:rPr>
        <w:t xml:space="preserve">Case Nos. 210302074 and 191201618</w:t>
      </w:r>
    </w:p>
    <w:p>
      <w:pPr>
        <w:spacing w:after="100"/>
        <w:jc w:val="center"/>
      </w:pPr>
      <w:r>
        <w:rPr>
          <w:rFonts w:ascii="Arial" w:cs="Arial" w:eastAsia="Arial" w:hAnsi="Arial"/>
          <w:sz w:val="22"/>
          <w:szCs w:val="22"/>
        </w:rPr>
        <w:t xml:space="preserve">Philadelphia County Court of Common Pleas</w:t>
      </w:r>
    </w:p>
    <w:p>
      <w:pPr>
        <w:spacing w:after="600"/>
        <w:jc w:val="center"/>
      </w:pPr>
      <w:r>
        <w:rPr>
          <w:rFonts w:ascii="Arial" w:cs="Arial" w:eastAsia="Arial" w:hAnsi="Arial"/>
          <w:sz w:val="22"/>
          <w:szCs w:val="22"/>
        </w:rPr>
        <w:t xml:space="preserve">Commerce Program</w:t>
      </w:r>
    </w:p>
    <w:p>
      <w:pPr>
        <w:spacing w:after="100"/>
        <w:jc w:val="center"/>
      </w:pPr>
      <w:r>
        <w:rPr>
          <w:rFonts w:ascii="Arial" w:cs="Arial" w:eastAsia="Arial" w:hAnsi="Arial"/>
          <w:sz w:val="22"/>
          <w:szCs w:val="22"/>
        </w:rPr>
        <w:t xml:space="preserve">Prepared: March 5, 2026</w:t>
      </w:r>
    </w:p>
    <w:p>
      <w:pPr>
        <w:jc w:val="center"/>
      </w:pPr>
      <w:r>
        <w:rPr>
          <w:rFonts w:ascii="Arial" w:cs="Arial" w:eastAsia="Arial" w:hAnsi="Arial"/>
          <w:sz w:val="22"/>
          <w:szCs w:val="22"/>
        </w:rPr>
        <w:t xml:space="preserve">Prepared for: Eric Blumenfeld / EBRM</w:t>
      </w:r>
    </w:p>
    <w:p>
      <w:r>
        <w:br w:type="page"/>
      </w:r>
    </w:p>
    <w:p>
      <w:pPr>
        <w:pStyle w:val="Heading1"/>
        <w:spacing w:after="150" w:before="300"/>
      </w:pPr>
      <w:r>
        <w:rPr>
          <w:rFonts w:ascii="Arial" w:cs="Arial" w:eastAsia="Arial" w:hAnsi="Arial"/>
        </w:rPr>
        <w:t xml:space="preserve">1. Executive Summary</w:t>
      </w:r>
    </w:p>
    <w:p>
      <w:pPr>
        <w:spacing w:after="120"/>
      </w:pPr>
      <w:r>
        <w:rPr>
          <w:rFonts w:ascii="Arial" w:cs="Arial" w:eastAsia="Arial" w:hAnsi="Arial"/>
          <w:sz w:val="22"/>
          <w:szCs w:val="22"/>
        </w:rPr>
        <w:t xml:space="preserve">This legal risk assessment evaluates the claims of Holy Ghost Met Master Tenant LLC and Holy Ghost Headquarters Revival Center at the Met Inc. (collectively, "EBRM" or "Plaintiffs") against Live Nation Entertainment, Inc. and Geoffrey S. Gordon (collectively, "Live Nation" or "Defendants") arising from the Event Center Lease for The Metropolitan Opera House at 858 N. Broad Street, Philadelphia, Pennsylvania.</w:t>
      </w:r>
    </w:p>
    <w:p>
      <w:pPr>
        <w:spacing w:after="120"/>
      </w:pPr>
      <w:r>
        <w:rPr>
          <w:rFonts w:ascii="Arial" w:cs="Arial" w:eastAsia="Arial" w:hAnsi="Arial"/>
          <w:sz w:val="22"/>
          <w:szCs w:val="22"/>
        </w:rPr>
        <w:t xml:space="preserve">The assessment synthesizes evidence from the fully executed lease, lease commencement agreement, expert financial analysis, pre-lease correspondence, the DOJ antitrust complaint against Live Nation/Ticketmaster, and extensive documentary evidence of lease violations spanning 2018 through 2025.</w:t>
      </w:r>
    </w:p>
    <w:p>
      <w:pPr>
        <w:spacing w:after="120"/>
      </w:pPr>
      <w:r>
        <w:rPr>
          <w:rFonts w:ascii="Arial" w:cs="Arial" w:eastAsia="Arial" w:hAnsi="Arial"/>
          <w:b/>
          <w:bCs/>
          <w:sz w:val="22"/>
          <w:szCs w:val="22"/>
        </w:rPr>
        <w:t xml:space="preserve">OVERALL RISK ASSESSMENT FOR DEFENDANTS: CRITICAL (RED)</w:t>
      </w:r>
    </w:p>
    <w:p>
      <w:pPr>
        <w:spacing w:after="120"/>
      </w:pPr>
      <w:r>
        <w:rPr>
          <w:rFonts w:ascii="Arial" w:cs="Arial" w:eastAsia="Arial" w:hAnsi="Arial"/>
          <w:sz w:val="22"/>
          <w:szCs w:val="22"/>
        </w:rPr>
        <w:t xml:space="preserve">The evidence strongly supports Plaintiffs' claims across multiple categories of breach. The expert report quantifies direct damages of $14,178,392, while the comprehensive lost revenues analysis projects total damages (including punitive) of approximately $255 million. The DOJ antitrust action provides powerful corroborating evidence of Live Nation's monopolistic practices that directly harmed this property.</w:t>
      </w:r>
    </w:p>
    <w:p>
      <w:r>
        <w:br w:type="page"/>
      </w:r>
    </w:p>
    <w:p>
      <w:pPr>
        <w:pStyle w:val="Heading1"/>
        <w:spacing w:after="150" w:before="300"/>
      </w:pPr>
      <w:r>
        <w:rPr>
          <w:rFonts w:ascii="Arial" w:cs="Arial" w:eastAsia="Arial" w:hAnsi="Arial"/>
        </w:rPr>
        <w:t xml:space="preserve">2. Risk Register Summary</w:t>
      </w:r>
    </w:p>
    <w:p>
      <w:pPr>
        <w:spacing w:after="120"/>
      </w:pPr>
      <w:r>
        <w:rPr>
          <w:rFonts w:ascii="Arial" w:cs="Arial" w:eastAsia="Arial" w:hAnsi="Arial"/>
          <w:sz w:val="22"/>
          <w:szCs w:val="22"/>
        </w:rPr>
        <w:t xml:space="preserve">The following table summarizes all identified legal risks from Defendants' perspective (i.e., risks that Defendants face in this litigation, which represent Plaintiffs' strengths):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3560"/>
        <w:gridCol w:w="800"/>
        <w:gridCol w:w="800"/>
        <w:gridCol w:w="800"/>
        <w:gridCol w:w="2600"/>
      </w:tblGrid>
      <w:tr>
        <w:tc>
          <w:tcPr>
            <w:tcW w:type="dxa" w:w="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Risk ID</w:t>
            </w:r>
          </w:p>
        </w:tc>
        <w:tc>
          <w:tcPr>
            <w:tcW w:type="dxa" w:w="3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Risk Description</w:t>
            </w:r>
          </w:p>
        </w:tc>
        <w:tc>
          <w:tcPr>
            <w:tcW w:type="dxa" w:w="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Sev.</w:t>
            </w:r>
          </w:p>
        </w:tc>
        <w:tc>
          <w:tcPr>
            <w:tcW w:type="dxa" w:w="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Lik.</w:t>
            </w:r>
          </w:p>
        </w:tc>
        <w:tc>
          <w:tcPr>
            <w:tcW w:type="dxa" w:w="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Score</w:t>
            </w:r>
          </w:p>
        </w:tc>
        <w:tc>
          <w:tcPr>
            <w:tcW w:type="dxa" w:w="2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Risk Level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R-01</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Percentage Rent on Ticket Sales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25</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R-02</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Sponsorship Revenue Sharing</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25</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R-03</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Third-Party Rental Revenue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20</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R-04</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Real Estate Tax Obligations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16</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R-05</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C-PACE Payment Obligation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20</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R-06</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Good Faith Booking Obligation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20</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R-07</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Landlord Usage Rights (15 days/yr)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15</w:t>
            </w:r>
          </w:p>
        </w:tc>
        <w:tc>
          <w:tcPr>
            <w:tcW w:type="dxa" w:w="2600"/>
            <w:tcBorders>
              <w:top w:val="single" w:color="CCCCCC" w:sz="1"/>
              <w:left w:val="single" w:color="CCCCCC" w:sz="1"/>
              <w:bottom w:val="single" w:color="CCCCCC" w:sz="1"/>
              <w:right w:val="single" w:color="CCCCCC" w:sz="1"/>
            </w:tcBorders>
            <w:shd w:fill="FF66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HIGH</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R-08</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Breach: Ticket Allocation (20/show)</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15</w:t>
            </w:r>
          </w:p>
        </w:tc>
        <w:tc>
          <w:tcPr>
            <w:tcW w:type="dxa" w:w="2600"/>
            <w:tcBorders>
              <w:top w:val="single" w:color="CCCCCC" w:sz="1"/>
              <w:left w:val="single" w:color="CCCCCC" w:sz="1"/>
              <w:bottom w:val="single" w:color="CCCCCC" w:sz="1"/>
              <w:right w:val="single" w:color="CCCCCC" w:sz="1"/>
            </w:tcBorders>
            <w:shd w:fill="FF66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HIGH</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R-09</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Antitrust / Monopolistic Practices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20</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R-10</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Tortious Interference / Unjust Enrichment</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16</w:t>
            </w:r>
          </w:p>
        </w:tc>
        <w:tc>
          <w:tcPr>
            <w:tcW w:type="dxa" w:w="260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CRITICAL</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R-11</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Punitive Damages Exposure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15</w:t>
            </w:r>
          </w:p>
        </w:tc>
        <w:tc>
          <w:tcPr>
            <w:tcW w:type="dxa" w:w="2600"/>
            <w:tcBorders>
              <w:top w:val="single" w:color="CCCCCC" w:sz="1"/>
              <w:left w:val="single" w:color="CCCCCC" w:sz="1"/>
              <w:bottom w:val="single" w:color="CCCCCC" w:sz="1"/>
              <w:right w:val="single" w:color="CCCCCC" w:sz="1"/>
            </w:tcBorders>
            <w:shd w:fill="FF66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HIGH</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R-12</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Rent Acceleration (Remaining Lease Term)</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15</w:t>
            </w:r>
          </w:p>
        </w:tc>
        <w:tc>
          <w:tcPr>
            <w:tcW w:type="dxa" w:w="2600"/>
            <w:tcBorders>
              <w:top w:val="single" w:color="CCCCCC" w:sz="1"/>
              <w:left w:val="single" w:color="CCCCCC" w:sz="1"/>
              <w:bottom w:val="single" w:color="CCCCCC" w:sz="1"/>
              <w:right w:val="single" w:color="CCCCCC" w:sz="1"/>
            </w:tcBorders>
            <w:shd w:fill="FF6600" w:val="clear"/>
            <w:tcMar>
              <w:top w:type="dxa" w:w="80"/>
              <w:left w:type="dxa" w:w="120"/>
              <w:bottom w:type="dxa" w:w="80"/>
              <w:right w:type="dxa" w:w="120"/>
            </w:tcMar>
          </w:tcPr>
          <w:p>
            <w:pPr>
              <w:jc w:val="left"/>
            </w:pPr>
            <w:r>
              <w:rPr>
                <w:rFonts w:ascii="Arial" w:cs="Arial" w:eastAsia="Arial" w:hAnsi="Arial"/>
                <w:b/>
                <w:bCs/>
                <w:color w:val="FFFFFF"/>
                <w:sz w:val="20"/>
                <w:szCs w:val="20"/>
              </w:rPr>
              <w:t xml:space="preserve">HIGH</w:t>
            </w:r>
          </w:p>
        </w:tc>
      </w:tr>
    </w:tbl>
    <w:p>
      <w:r>
        <w:br w:type="page"/>
      </w:r>
    </w:p>
    <w:p>
      <w:pPr>
        <w:pStyle w:val="Heading1"/>
        <w:spacing w:after="150" w:before="300"/>
      </w:pPr>
      <w:r>
        <w:rPr>
          <w:rFonts w:ascii="Arial" w:cs="Arial" w:eastAsia="Arial" w:hAnsi="Arial"/>
        </w:rPr>
        <w:t xml:space="preserve">3. Detailed Risk Analysis</w:t>
      </w:r>
    </w:p>
    <w:p>
      <w:pPr>
        <w:pStyle w:val="Heading2"/>
        <w:spacing w:after="150" w:before="300"/>
      </w:pPr>
      <w:r>
        <w:rPr>
          <w:rFonts w:ascii="Arial" w:cs="Arial" w:eastAsia="Arial" w:hAnsi="Arial"/>
        </w:rPr>
        <w:t xml:space="preserve">3.1 R-01: Percentage Rent on Ticket Sales</w:t>
      </w:r>
    </w:p>
    <w:p>
      <w:pPr>
        <w:spacing w:after="120"/>
      </w:pPr>
      <w:r>
        <w:rPr>
          <w:rFonts w:ascii="Arial" w:cs="Arial" w:eastAsia="Arial" w:hAnsi="Arial"/>
          <w:b/>
          <w:bCs/>
          <w:sz w:val="22"/>
          <w:szCs w:val="22"/>
        </w:rPr>
        <w:t xml:space="preserve">Severity: 5 (Critical) | Likelihood: 5 (Almost Certain) | Score: 25 — CRITICAL</w:t>
      </w:r>
    </w:p>
    <w:p>
      <w:pPr>
        <w:spacing w:after="120"/>
      </w:pPr>
      <w:r>
        <w:rPr>
          <w:rFonts w:ascii="Arial" w:cs="Arial" w:eastAsia="Arial" w:hAnsi="Arial"/>
          <w:sz w:val="22"/>
          <w:szCs w:val="22"/>
        </w:rPr>
        <w:t xml:space="preserve">The lease requires Live Nation to pay percentage rent of $2/ticket for the first 200,000 tickets per year and $3/ticket thereafter (adjusted to $2.42/$3.63 in 2024 via CPI). Live Nation itself projected 450,000–500,000 annual ticket sales and 150+ shows per year, with expectations of matching the Beacon Theatre and Radio City Music Hall at 200+ events annually.</w:t>
      </w:r>
    </w:p>
    <w:p>
      <w:pPr>
        <w:spacing w:after="120"/>
      </w:pPr>
      <w:r>
        <w:rPr>
          <w:rFonts w:ascii="Arial" w:cs="Arial" w:eastAsia="Arial" w:hAnsi="Arial"/>
          <w:sz w:val="22"/>
          <w:szCs w:val="22"/>
        </w:rPr>
        <w:t xml:space="preserve">The expert report by Stephen Scherf, CPA, documents $3,312,711 in damages from 2022 through March 2025 alone, based on the gap between projected and actual ticket revenues. Show counts dropped from 150 (2019) to as low as 99 (2022), despite Live Nation's lease obligation to "continuously use good faith efforts to book events" (Section 8.2(a)).</w:t>
      </w:r>
    </w:p>
    <w:p>
      <w:pPr>
        <w:spacing w:after="120"/>
      </w:pPr>
      <w:r>
        <w:rPr>
          <w:rFonts w:ascii="Arial" w:cs="Arial" w:eastAsia="Arial" w:hAnsi="Arial"/>
          <w:sz w:val="22"/>
          <w:szCs w:val="22"/>
        </w:rPr>
        <w:t xml:space="preserve">Key evidence includes Live Nation's own pre-lease representations to Fulton Bank about projected ticket sales exceeding $50 million in gross sales, Dan Casale's comparative analysis to the Beacon Theatre and Radio City Music Hall, and the demonstrable decline in show counts after 2019 while Live Nation expanded operations to competing venues in the region.</w:t>
      </w:r>
    </w:p>
    <w:p>
      <w:pPr>
        <w:pStyle w:val="Heading2"/>
        <w:spacing w:after="150" w:before="300"/>
      </w:pPr>
      <w:r>
        <w:rPr>
          <w:rFonts w:ascii="Arial" w:cs="Arial" w:eastAsia="Arial" w:hAnsi="Arial"/>
        </w:rPr>
        <w:t xml:space="preserve">3.2 R-02: Sponsorship Revenue Sharing</w:t>
      </w:r>
    </w:p>
    <w:p>
      <w:pPr>
        <w:spacing w:after="120"/>
      </w:pPr>
      <w:r>
        <w:rPr>
          <w:rFonts w:ascii="Arial" w:cs="Arial" w:eastAsia="Arial" w:hAnsi="Arial"/>
          <w:b/>
          <w:bCs/>
          <w:sz w:val="22"/>
          <w:szCs w:val="22"/>
        </w:rPr>
        <w:t xml:space="preserve">Severity: 5 (Critical) | Likelihood: 5 (Almost Certain) | Score: 25 — CRITICAL</w:t>
      </w:r>
    </w:p>
    <w:p>
      <w:pPr>
        <w:spacing w:after="120"/>
      </w:pPr>
      <w:r>
        <w:rPr>
          <w:rFonts w:ascii="Arial" w:cs="Arial" w:eastAsia="Arial" w:hAnsi="Arial"/>
          <w:sz w:val="22"/>
          <w:szCs w:val="22"/>
        </w:rPr>
        <w:t xml:space="preserve">The lease provides for 50% of NIT Sponsorship Revenues to the Landlord. Andy Peikon, SVP of Sponsorship at Live Nation, projected sponsorship revenue "close to or in the seven figures" in his November 2017 letter to Fulton Bank, establishing a minimum of $500,000 annually to Plaintiffs.</w:t>
      </w:r>
    </w:p>
    <w:p>
      <w:pPr>
        <w:spacing w:after="120"/>
      </w:pPr>
      <w:r>
        <w:rPr>
          <w:rFonts w:ascii="Arial" w:cs="Arial" w:eastAsia="Arial" w:hAnsi="Arial"/>
          <w:sz w:val="22"/>
          <w:szCs w:val="22"/>
        </w:rPr>
        <w:t xml:space="preserve">Live Nation disputes the scope of "NIT Sponsorship" — claiming it covers only naming rights, while the lease and Peikon's own email (using "entirety of the premises") supports a broader interpretation covering all venue sponsorships. Expert damages total $1,668,090. Notably, Citi continues paying Live Nation $560,000/year for Met sponsorship, suggesting actual sponsorship revenue closer to $2,000,000/year. Plaintiffs' share should be at least $500,000 annually but has been systematically withheld or underreported.</w:t>
      </w:r>
    </w:p>
    <w:p>
      <w:pPr>
        <w:spacing w:after="120"/>
      </w:pPr>
      <w:r>
        <w:rPr>
          <w:rFonts w:ascii="Arial" w:cs="Arial" w:eastAsia="Arial" w:hAnsi="Arial"/>
          <w:sz w:val="22"/>
          <w:szCs w:val="22"/>
        </w:rPr>
        <w:t xml:space="preserve">The PIDC/Fulton Bank email chain (March 2019) reveals that Sarah Stroney (PIDC VP) confirmed "Live Nation assured us it included all Premises" regarding sponsorship scope, directly contradicting Live Nation's litigation position.</w:t>
      </w:r>
    </w:p>
    <w:p>
      <w:pPr>
        <w:pStyle w:val="Heading2"/>
        <w:spacing w:after="150" w:before="300"/>
      </w:pPr>
      <w:r>
        <w:rPr>
          <w:rFonts w:ascii="Arial" w:cs="Arial" w:eastAsia="Arial" w:hAnsi="Arial"/>
        </w:rPr>
        <w:t xml:space="preserve">3.3 R-03: Third-Party Rental Revenue</w:t>
      </w:r>
    </w:p>
    <w:p>
      <w:pPr>
        <w:spacing w:after="120"/>
      </w:pPr>
      <w:r>
        <w:rPr>
          <w:rFonts w:ascii="Arial" w:cs="Arial" w:eastAsia="Arial" w:hAnsi="Arial"/>
          <w:b/>
          <w:bCs/>
          <w:sz w:val="22"/>
          <w:szCs w:val="22"/>
        </w:rPr>
        <w:t xml:space="preserve">Severity: 4 (High) | Likelihood: 5 (Almost Certain) | Score: 20 — CRITICAL</w:t>
      </w:r>
    </w:p>
    <w:p>
      <w:pPr>
        <w:spacing w:after="120"/>
      </w:pPr>
      <w:r>
        <w:rPr>
          <w:rFonts w:ascii="Arial" w:cs="Arial" w:eastAsia="Arial" w:hAnsi="Arial"/>
          <w:sz w:val="22"/>
          <w:szCs w:val="22"/>
        </w:rPr>
        <w:t xml:space="preserve">Section 21.10 of the Lease requires Live Nation to pay 50% of Net Profits from third-party rentals/subletting. Discovery revealed 45 rental events from January 2020 through February 2025. Live Nation has not provided a proper accounting of revenues and expenses from these events, and the data produced is inconsistent with earlier disclosures. The expert notes this inconsistency and reserves the right to update damages as additional information becomes available.</w:t>
      </w:r>
    </w:p>
    <w:p>
      <w:pPr>
        <w:pStyle w:val="Heading2"/>
        <w:spacing w:after="150" w:before="300"/>
      </w:pPr>
      <w:r>
        <w:rPr>
          <w:rFonts w:ascii="Arial" w:cs="Arial" w:eastAsia="Arial" w:hAnsi="Arial"/>
        </w:rPr>
        <w:t xml:space="preserve">3.4 R-04: Real Estate Tax Obligations</w:t>
      </w:r>
    </w:p>
    <w:p>
      <w:pPr>
        <w:spacing w:after="120"/>
      </w:pPr>
      <w:r>
        <w:rPr>
          <w:rFonts w:ascii="Arial" w:cs="Arial" w:eastAsia="Arial" w:hAnsi="Arial"/>
          <w:b/>
          <w:bCs/>
          <w:sz w:val="22"/>
          <w:szCs w:val="22"/>
        </w:rPr>
        <w:t xml:space="preserve">Severity: 4 (High) | Likelihood: 4 (Likely) | Score: 16 — CRITICAL</w:t>
      </w:r>
    </w:p>
    <w:p>
      <w:pPr>
        <w:spacing w:after="120"/>
      </w:pPr>
      <w:r>
        <w:rPr>
          <w:rFonts w:ascii="Arial" w:cs="Arial" w:eastAsia="Arial" w:hAnsi="Arial"/>
          <w:sz w:val="22"/>
          <w:szCs w:val="22"/>
        </w:rPr>
        <w:t xml:space="preserve">Under the lease, Tenant's Share of real estate taxes is 97.57%. Live Nation has failed to meet this obligation, creating additional financial burden on the Landlord.</w:t>
      </w:r>
    </w:p>
    <w:p>
      <w:pPr>
        <w:pStyle w:val="Heading2"/>
        <w:spacing w:after="150" w:before="300"/>
      </w:pPr>
      <w:r>
        <w:rPr>
          <w:rFonts w:ascii="Arial" w:cs="Arial" w:eastAsia="Arial" w:hAnsi="Arial"/>
        </w:rPr>
        <w:t xml:space="preserve">3.5 R-05: C-PACE Payment Obligation</w:t>
      </w:r>
    </w:p>
    <w:p>
      <w:pPr>
        <w:spacing w:after="120"/>
      </w:pPr>
      <w:r>
        <w:rPr>
          <w:rFonts w:ascii="Arial" w:cs="Arial" w:eastAsia="Arial" w:hAnsi="Arial"/>
          <w:b/>
          <w:bCs/>
          <w:sz w:val="22"/>
          <w:szCs w:val="22"/>
        </w:rPr>
        <w:t xml:space="preserve">Severity: 4 (High) | Likelihood: 5 (Almost Certain) | Score: 20 — CRITICAL</w:t>
      </w:r>
    </w:p>
    <w:p>
      <w:pPr>
        <w:spacing w:after="120"/>
      </w:pPr>
      <w:r>
        <w:rPr>
          <w:rFonts w:ascii="Arial" w:cs="Arial" w:eastAsia="Arial" w:hAnsi="Arial"/>
          <w:sz w:val="22"/>
          <w:szCs w:val="22"/>
        </w:rPr>
        <w:t xml:space="preserve">The $5.8 million C-PACE (Commercial Property Assessed Clean Energy) obligation for energy improvements is payable as Additional Charges under the lease. Live Nation paid for the first year but then ceased payments, claiming it is not their obligation. The lease language on Additional Charges, combined with the C-PACE assessment structure (which runs with the property and is payable through real estate tax bills), strongly supports Plaintiffs' position that this is a tenant obligation under the lease's tax and CAM provisions.</w:t>
      </w:r>
    </w:p>
    <w:p>
      <w:pPr>
        <w:pStyle w:val="Heading2"/>
        <w:spacing w:after="150" w:before="300"/>
      </w:pPr>
      <w:r>
        <w:rPr>
          <w:rFonts w:ascii="Arial" w:cs="Arial" w:eastAsia="Arial" w:hAnsi="Arial"/>
        </w:rPr>
        <w:t xml:space="preserve">3.6 R-06: Good Faith Booking Obligation</w:t>
      </w:r>
    </w:p>
    <w:p>
      <w:pPr>
        <w:spacing w:after="120"/>
      </w:pPr>
      <w:r>
        <w:rPr>
          <w:rFonts w:ascii="Arial" w:cs="Arial" w:eastAsia="Arial" w:hAnsi="Arial"/>
          <w:b/>
          <w:bCs/>
          <w:sz w:val="22"/>
          <w:szCs w:val="22"/>
        </w:rPr>
        <w:t xml:space="preserve">Severity: 5 (Critical) | Likelihood: 4 (Likely) | Score: 20 — CRITICAL</w:t>
      </w:r>
    </w:p>
    <w:p>
      <w:pPr>
        <w:spacing w:after="120"/>
      </w:pPr>
      <w:r>
        <w:rPr>
          <w:rFonts w:ascii="Arial" w:cs="Arial" w:eastAsia="Arial" w:hAnsi="Arial"/>
          <w:sz w:val="22"/>
          <w:szCs w:val="22"/>
        </w:rPr>
        <w:t xml:space="preserve">Section 8.2(a) of the Lease requires Live Nation to "continuously use good faith efforts to book events for and have events held at Premises." The show count data tells a compelling story: 150 shows in 2019 (the first full year), followed by a dramatic decline to 99 in 2022, 113 in 2023, and only 93 through 2025 — despite Live Nation's own projections of 200+ events annually.</w:t>
      </w:r>
    </w:p>
    <w:p>
      <w:pPr>
        <w:spacing w:after="120"/>
      </w:pPr>
      <w:r>
        <w:rPr>
          <w:rFonts w:ascii="Arial" w:cs="Arial" w:eastAsia="Arial" w:hAnsi="Arial"/>
          <w:sz w:val="22"/>
          <w:szCs w:val="22"/>
        </w:rPr>
        <w:t xml:space="preserve">During this same period, Live Nation expanded operations to other regional venues, effectively self-dealing at the expense of the Met. Dan Casale told Fulton Bank that Live Nation held approximately 80% market share in Philadelphia. The DOJ antitrust complaint confirms Live Nation's pattern of leveraging venue control to direct content away from venues it does not own or fully control, which is precisely what occurred here.</w:t>
      </w:r>
    </w:p>
    <w:p>
      <w:pPr>
        <w:pStyle w:val="Heading2"/>
        <w:spacing w:after="150" w:before="300"/>
      </w:pPr>
      <w:r>
        <w:rPr>
          <w:rFonts w:ascii="Arial" w:cs="Arial" w:eastAsia="Arial" w:hAnsi="Arial"/>
        </w:rPr>
        <w:t xml:space="preserve">3.7 R-09: Antitrust / Monopolistic Practices (DOJ Corroboration)</w:t>
      </w:r>
    </w:p>
    <w:p>
      <w:pPr>
        <w:spacing w:after="120"/>
      </w:pPr>
      <w:r>
        <w:rPr>
          <w:rFonts w:ascii="Arial" w:cs="Arial" w:eastAsia="Arial" w:hAnsi="Arial"/>
          <w:b/>
          <w:bCs/>
          <w:sz w:val="22"/>
          <w:szCs w:val="22"/>
        </w:rPr>
        <w:t xml:space="preserve">Severity: 5 (Critical) | Likelihood: 4 (Likely) | Score: 20 — CRITICAL</w:t>
      </w:r>
    </w:p>
    <w:p>
      <w:pPr>
        <w:spacing w:after="120"/>
      </w:pPr>
      <w:r>
        <w:rPr>
          <w:rFonts w:ascii="Arial" w:cs="Arial" w:eastAsia="Arial" w:hAnsi="Arial"/>
          <w:sz w:val="22"/>
          <w:szCs w:val="22"/>
        </w:rPr>
        <w:t xml:space="preserve">The U.S. Department of Justice filed an antitrust complaint against Live Nation/Ticketmaster in 2024, alleging monopolistic practices including exclusive dealing, self-preferencing, and threats against venues. This federal action directly validates EBRM's claims and establishes a pattern of conduct by Live Nation that mirrors its behavior at the Met.</w:t>
      </w:r>
    </w:p>
    <w:p>
      <w:pPr>
        <w:spacing w:after="120"/>
      </w:pPr>
      <w:r>
        <w:rPr>
          <w:rFonts w:ascii="Arial" w:cs="Arial" w:eastAsia="Arial" w:hAnsi="Arial"/>
          <w:sz w:val="22"/>
          <w:szCs w:val="22"/>
        </w:rPr>
        <w:t xml:space="preserve">Key parallels include: Live Nation's self-admitted 80% market share in Philadelphia; its practice of directing shows to competing venues while under-booking the Met; its refusal to share sponsorship revenues as required; and its use of market dominance to impose unfavorable terms on venue owners. The DOJ complaint provides powerful corroborating evidence that transforms this from a simple contract dispute into a case involving systematic anti-competitive behavior.</w:t>
      </w:r>
    </w:p>
    <w:p>
      <w:pPr>
        <w:pStyle w:val="Heading2"/>
        <w:spacing w:after="150" w:before="300"/>
      </w:pPr>
      <w:r>
        <w:rPr>
          <w:rFonts w:ascii="Arial" w:cs="Arial" w:eastAsia="Arial" w:hAnsi="Arial"/>
        </w:rPr>
        <w:t xml:space="preserve">3.8 R-10: Tortious Interference / Unjust Enrichment</w:t>
      </w:r>
    </w:p>
    <w:p>
      <w:pPr>
        <w:spacing w:after="120"/>
      </w:pPr>
      <w:r>
        <w:rPr>
          <w:rFonts w:ascii="Arial" w:cs="Arial" w:eastAsia="Arial" w:hAnsi="Arial"/>
          <w:b/>
          <w:bCs/>
          <w:sz w:val="22"/>
          <w:szCs w:val="22"/>
        </w:rPr>
        <w:t xml:space="preserve">Severity: 4 (High) | Likelihood: 4 (Likely) | Score: 16 — CRITICAL</w:t>
      </w:r>
    </w:p>
    <w:p>
      <w:pPr>
        <w:spacing w:after="120"/>
      </w:pPr>
      <w:r>
        <w:rPr>
          <w:rFonts w:ascii="Arial" w:cs="Arial" w:eastAsia="Arial" w:hAnsi="Arial"/>
          <w:sz w:val="22"/>
          <w:szCs w:val="22"/>
        </w:rPr>
        <w:t xml:space="preserve">Live Nation's conduct extends beyond simple breach of contract. By collecting sponsorship revenues attributable to the Met and failing to share them, Live Nation has been unjustly enriched. By directing shows to competing venues while under-booking the Met (despite contractual good faith obligations), Live Nation has tortiously interfered with Plaintiffs' economic interests. Geoffrey Gordon's role as President of Live Nation Philadelphia makes him personally implicated in these decisions.</w:t>
      </w:r>
    </w:p>
    <w:p>
      <w:pPr>
        <w:pStyle w:val="Heading2"/>
        <w:spacing w:after="150" w:before="300"/>
      </w:pPr>
      <w:r>
        <w:rPr>
          <w:rFonts w:ascii="Arial" w:cs="Arial" w:eastAsia="Arial" w:hAnsi="Arial"/>
        </w:rPr>
        <w:t xml:space="preserve">3.9 R-11: Punitive Damages Exposure</w:t>
      </w:r>
    </w:p>
    <w:p>
      <w:pPr>
        <w:spacing w:after="120"/>
      </w:pPr>
      <w:r>
        <w:rPr>
          <w:rFonts w:ascii="Arial" w:cs="Arial" w:eastAsia="Arial" w:hAnsi="Arial"/>
          <w:b/>
          <w:bCs/>
          <w:sz w:val="22"/>
          <w:szCs w:val="22"/>
        </w:rPr>
        <w:t xml:space="preserve">Severity: 5 (Critical) | Likelihood: 3 (Possible) | Score: 15 — HIGH</w:t>
      </w:r>
    </w:p>
    <w:p>
      <w:pPr>
        <w:spacing w:after="120"/>
      </w:pPr>
      <w:r>
        <w:rPr>
          <w:rFonts w:ascii="Arial" w:cs="Arial" w:eastAsia="Arial" w:hAnsi="Arial"/>
          <w:sz w:val="22"/>
          <w:szCs w:val="22"/>
        </w:rPr>
        <w:t xml:space="preserve">The willfulness and systematic nature of Live Nation's breaches supports a claim for punitive damages. Live Nation made specific representations to lenders about performance projections, then failed to meet those projections while diverting business elsewhere. The lost revenues analysis includes $50 million in punitive damages. While punitive damages are never certain, the evidence of deliberate conduct, combined with the DOJ antitrust findings, makes this claim viable.</w:t>
      </w:r>
    </w:p>
    <w:p>
      <w:r>
        <w:br w:type="page"/>
      </w:r>
    </w:p>
    <w:p>
      <w:pPr>
        <w:pStyle w:val="Heading1"/>
        <w:spacing w:after="150" w:before="300"/>
      </w:pPr>
      <w:r>
        <w:rPr>
          <w:rFonts w:ascii="Arial" w:cs="Arial" w:eastAsia="Arial" w:hAnsi="Arial"/>
        </w:rPr>
        <w:t xml:space="preserve">4. Damages Summary</w:t>
      </w:r>
    </w:p>
    <w:p>
      <w:pPr>
        <w:pStyle w:val="Heading2"/>
        <w:spacing w:after="150" w:before="300"/>
      </w:pPr>
      <w:r>
        <w:rPr>
          <w:rFonts w:ascii="Arial" w:cs="Arial" w:eastAsia="Arial" w:hAnsi="Arial"/>
        </w:rPr>
        <w:t xml:space="preserve">4.1 Expert Report Damages (Scherf, June 2025)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Category</w:t>
            </w:r>
          </w:p>
        </w:tc>
        <w:tc>
          <w:tcPr>
            <w:tcW w:type="dxa" w:w="3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Amount</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Percentage Rent on Ticket Sales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$3,312,711</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Sponsorship Revenue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$1,668,090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Third-Party Rental Revenue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TBD (discovery ongoing)</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Real Estate Tax Obligations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TBD</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Landlord Usage Denial</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TBD</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Ticket Allocation Breach</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TBD</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Prejudgment Interest &amp; Rent Acceleration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$9,197,591</w:t>
            </w:r>
          </w:p>
        </w:tc>
      </w:tr>
      <w:tr>
        <w:tc>
          <w:tcPr>
            <w:tcW w:type="dxa" w:w="6000"/>
            <w:tcBorders>
              <w:top w:val="single" w:color="CCCCCC" w:sz="1"/>
              <w:left w:val="single" w:color="CCCCCC" w:sz="1"/>
              <w:bottom w:val="single" w:color="CCCCCC" w:sz="1"/>
              <w:right w:val="single" w:color="CCCCCC" w:sz="1"/>
            </w:tcBorders>
            <w:shd w:fill="E8F0FE" w:val="clear"/>
            <w:tcMar>
              <w:top w:type="dxa" w:w="80"/>
              <w:left w:type="dxa" w:w="120"/>
              <w:bottom w:type="dxa" w:w="80"/>
              <w:right w:type="dxa" w:w="120"/>
            </w:tcMar>
          </w:tcPr>
          <w:p>
            <w:pPr>
              <w:jc w:val="left"/>
            </w:pPr>
            <w:r>
              <w:rPr>
                <w:rFonts w:ascii="Arial" w:cs="Arial" w:eastAsia="Arial" w:hAnsi="Arial"/>
                <w:b/>
                <w:bCs/>
                <w:sz w:val="20"/>
                <w:szCs w:val="20"/>
              </w:rPr>
              <w:t xml:space="preserve">TOTAL (Expert Report)</w:t>
            </w:r>
          </w:p>
        </w:tc>
        <w:tc>
          <w:tcPr>
            <w:tcW w:type="dxa" w:w="3360"/>
            <w:tcBorders>
              <w:top w:val="single" w:color="CCCCCC" w:sz="1"/>
              <w:left w:val="single" w:color="CCCCCC" w:sz="1"/>
              <w:bottom w:val="single" w:color="CCCCCC" w:sz="1"/>
              <w:right w:val="single" w:color="CCCCCC" w:sz="1"/>
            </w:tcBorders>
            <w:shd w:fill="E8F0FE" w:val="clear"/>
            <w:tcMar>
              <w:top w:type="dxa" w:w="80"/>
              <w:left w:type="dxa" w:w="120"/>
              <w:bottom w:type="dxa" w:w="80"/>
              <w:right w:type="dxa" w:w="120"/>
            </w:tcMar>
          </w:tcPr>
          <w:p>
            <w:pPr>
              <w:jc w:val="right"/>
            </w:pPr>
            <w:r>
              <w:rPr>
                <w:rFonts w:ascii="Arial" w:cs="Arial" w:eastAsia="Arial" w:hAnsi="Arial"/>
                <w:b/>
                <w:bCs/>
                <w:sz w:val="20"/>
                <w:szCs w:val="20"/>
              </w:rPr>
              <w:t xml:space="preserve">$14,178,392</w:t>
            </w:r>
          </w:p>
        </w:tc>
      </w:tr>
    </w:tbl>
    <w:p>
      <w:pPr>
        <w:spacing w:before="200"/>
      </w:pPr>
    </w:p>
    <w:p>
      <w:pPr>
        <w:pStyle w:val="Heading2"/>
        <w:spacing w:after="150" w:before="300"/>
      </w:pPr>
      <w:r>
        <w:rPr>
          <w:rFonts w:ascii="Arial" w:cs="Arial" w:eastAsia="Arial" w:hAnsi="Arial"/>
        </w:rPr>
        <w:t xml:space="preserve">4.2 Comprehensive Damages Projection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Category</w:t>
            </w:r>
          </w:p>
        </w:tc>
        <w:tc>
          <w:tcPr>
            <w:tcW w:type="dxa" w:w="3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Amount</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Revenue Shortfall (2019-2025): Projected $72M vs. Actual $13.7M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$57,500,000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Consequential Damages (related properties, financing costs)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$97,500,000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Punitive Damages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$50,000,000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Prejudgment Interest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Arial" w:cs="Arial" w:eastAsia="Arial" w:hAnsi="Arial"/>
                <w:sz w:val="20"/>
                <w:szCs w:val="20"/>
              </w:rPr>
              <w:t xml:space="preserve">$50,000,000</w:t>
            </w:r>
          </w:p>
        </w:tc>
      </w:tr>
      <w:tr>
        <w:tc>
          <w:tcPr>
            <w:tcW w:type="dxa" w:w="6000"/>
            <w:tcBorders>
              <w:top w:val="single" w:color="CCCCCC" w:sz="1"/>
              <w:left w:val="single" w:color="CCCCCC" w:sz="1"/>
              <w:bottom w:val="single" w:color="CCCCCC" w:sz="1"/>
              <w:right w:val="single" w:color="CCCCCC" w:sz="1"/>
            </w:tcBorders>
            <w:shd w:fill="FDEDED" w:val="clear"/>
            <w:tcMar>
              <w:top w:type="dxa" w:w="80"/>
              <w:left w:type="dxa" w:w="120"/>
              <w:bottom w:type="dxa" w:w="80"/>
              <w:right w:type="dxa" w:w="120"/>
            </w:tcMar>
          </w:tcPr>
          <w:p>
            <w:pPr>
              <w:jc w:val="left"/>
            </w:pPr>
            <w:r>
              <w:rPr>
                <w:rFonts w:ascii="Arial" w:cs="Arial" w:eastAsia="Arial" w:hAnsi="Arial"/>
                <w:b/>
                <w:bCs/>
                <w:sz w:val="20"/>
                <w:szCs w:val="20"/>
              </w:rPr>
              <w:t xml:space="preserve">TOTAL COMPREHENSIVE CLAIM</w:t>
            </w:r>
          </w:p>
        </w:tc>
        <w:tc>
          <w:tcPr>
            <w:tcW w:type="dxa" w:w="3360"/>
            <w:tcBorders>
              <w:top w:val="single" w:color="CCCCCC" w:sz="1"/>
              <w:left w:val="single" w:color="CCCCCC" w:sz="1"/>
              <w:bottom w:val="single" w:color="CCCCCC" w:sz="1"/>
              <w:right w:val="single" w:color="CCCCCC" w:sz="1"/>
            </w:tcBorders>
            <w:shd w:fill="FDEDED" w:val="clear"/>
            <w:tcMar>
              <w:top w:type="dxa" w:w="80"/>
              <w:left w:type="dxa" w:w="120"/>
              <w:bottom w:type="dxa" w:w="80"/>
              <w:right w:type="dxa" w:w="120"/>
            </w:tcMar>
          </w:tcPr>
          <w:p>
            <w:pPr>
              <w:jc w:val="right"/>
            </w:pPr>
            <w:r>
              <w:rPr>
                <w:rFonts w:ascii="Arial" w:cs="Arial" w:eastAsia="Arial" w:hAnsi="Arial"/>
                <w:b/>
                <w:bCs/>
                <w:sz w:val="20"/>
                <w:szCs w:val="20"/>
              </w:rPr>
              <w:t xml:space="preserve">~$255,000,000</w:t>
            </w:r>
          </w:p>
        </w:tc>
      </w:tr>
    </w:tbl>
    <w:p>
      <w:r>
        <w:br w:type="page"/>
      </w:r>
    </w:p>
    <w:p>
      <w:pPr>
        <w:pStyle w:val="Heading1"/>
        <w:spacing w:after="150" w:before="300"/>
      </w:pPr>
      <w:r>
        <w:rPr>
          <w:rFonts w:ascii="Arial" w:cs="Arial" w:eastAsia="Arial" w:hAnsi="Arial"/>
        </w:rPr>
        <w:t xml:space="preserve">5. Financial Context &amp; Debt Reduction Opportunity</w:t>
      </w:r>
    </w:p>
    <w:p>
      <w:pPr>
        <w:spacing w:after="120"/>
      </w:pPr>
      <w:r>
        <w:rPr>
          <w:rFonts w:ascii="Arial" w:cs="Arial" w:eastAsia="Arial" w:hAnsi="Arial"/>
          <w:sz w:val="22"/>
          <w:szCs w:val="22"/>
        </w:rPr>
        <w:t xml:space="preserve">Understanding the financial structure of the property is critical to evaluating the strategic importance of this litigation:</w:t>
      </w:r>
    </w:p>
    <w:p>
      <w:pPr>
        <w:pStyle w:val="ListParagraph"/>
        <w:numPr>
          <w:ilvl w:val="0"/>
          <w:numId w:val="2"/>
        </w:numPr>
        <w:spacing w:after="80"/>
      </w:pPr>
      <w:r>
        <w:rPr>
          <w:rFonts w:ascii="Arial" w:cs="Arial" w:eastAsia="Arial" w:hAnsi="Arial"/>
          <w:sz w:val="22"/>
          <w:szCs w:val="22"/>
        </w:rPr>
        <w:t xml:space="preserve">Total Current Debt: ~$32.6 million</w:t>
      </w:r>
    </w:p>
    <w:p>
      <w:pPr>
        <w:pStyle w:val="ListParagraph"/>
        <w:numPr>
          <w:ilvl w:val="0"/>
          <w:numId w:val="2"/>
        </w:numPr>
        <w:spacing w:after="80"/>
      </w:pPr>
      <w:r>
        <w:rPr>
          <w:rFonts w:ascii="Arial" w:cs="Arial" w:eastAsia="Arial" w:hAnsi="Arial"/>
          <w:sz w:val="22"/>
          <w:szCs w:val="22"/>
        </w:rPr>
        <w:t xml:space="preserve">Potential Debt Reduction: $10 million (acquiring mortgages at discount)</w:t>
      </w:r>
    </w:p>
    <w:p>
      <w:pPr>
        <w:pStyle w:val="ListParagraph"/>
        <w:numPr>
          <w:ilvl w:val="0"/>
          <w:numId w:val="2"/>
        </w:numPr>
        <w:spacing w:after="80"/>
      </w:pPr>
      <w:r>
        <w:rPr>
          <w:rFonts w:ascii="Arial" w:cs="Arial" w:eastAsia="Arial" w:hAnsi="Arial"/>
          <w:sz w:val="22"/>
          <w:szCs w:val="22"/>
        </w:rPr>
        <w:t xml:space="preserve">Resulting Debt After Reduction: ~$22 million</w:t>
      </w:r>
    </w:p>
    <w:p>
      <w:pPr>
        <w:pStyle w:val="ListParagraph"/>
        <w:numPr>
          <w:ilvl w:val="0"/>
          <w:numId w:val="2"/>
        </w:numPr>
        <w:spacing w:after="80"/>
      </w:pPr>
      <w:r>
        <w:rPr>
          <w:rFonts w:ascii="Arial" w:cs="Arial" w:eastAsia="Arial" w:hAnsi="Arial"/>
          <w:sz w:val="22"/>
          <w:szCs w:val="22"/>
        </w:rPr>
        <w:t xml:space="preserve">2025 Appraised Value: $43 million</w:t>
      </w:r>
    </w:p>
    <w:p>
      <w:pPr>
        <w:pStyle w:val="ListParagraph"/>
        <w:numPr>
          <w:ilvl w:val="0"/>
          <w:numId w:val="2"/>
        </w:numPr>
        <w:spacing w:after="80"/>
      </w:pPr>
      <w:r>
        <w:rPr>
          <w:rFonts w:ascii="Arial" w:cs="Arial" w:eastAsia="Arial" w:hAnsi="Arial"/>
          <w:sz w:val="22"/>
          <w:szCs w:val="22"/>
        </w:rPr>
        <w:t xml:space="preserve">Equity Cushion (current): ~$10.4 million</w:t>
      </w:r>
    </w:p>
    <w:p>
      <w:pPr>
        <w:pStyle w:val="ListParagraph"/>
        <w:numPr>
          <w:ilvl w:val="0"/>
          <w:numId w:val="2"/>
        </w:numPr>
        <w:spacing w:after="80"/>
      </w:pPr>
      <w:r>
        <w:rPr>
          <w:rFonts w:ascii="Arial" w:cs="Arial" w:eastAsia="Arial" w:hAnsi="Arial"/>
          <w:sz w:val="22"/>
          <w:szCs w:val="22"/>
        </w:rPr>
        <w:t xml:space="preserve">Equity Cushion (post-reduction): ~$20 million</w:t>
      </w:r>
    </w:p>
    <w:p>
      <w:pPr>
        <w:pStyle w:val="ListParagraph"/>
        <w:numPr>
          <w:ilvl w:val="0"/>
          <w:numId w:val="2"/>
        </w:numPr>
        <w:spacing w:after="80"/>
      </w:pPr>
      <w:r>
        <w:rPr>
          <w:rFonts w:ascii="Arial" w:cs="Arial" w:eastAsia="Arial" w:hAnsi="Arial"/>
          <w:sz w:val="22"/>
          <w:szCs w:val="22"/>
        </w:rPr>
        <w:t xml:space="preserve">Potential Value Based on Comparable Venues: $100+ million</w:t>
      </w:r>
    </w:p>
    <w:p>
      <w:pPr>
        <w:spacing w:after="120"/>
      </w:pPr>
      <w:r>
        <w:rPr>
          <w:rFonts w:ascii="Arial" w:cs="Arial" w:eastAsia="Arial" w:hAnsi="Arial"/>
          <w:sz w:val="22"/>
          <w:szCs w:val="22"/>
        </w:rPr>
        <w:t xml:space="preserve">The property's value proposition is significantly enhanced by the resolution of this litigation. A successful outcome would not only recover damages but also either force Live Nation to comply with its lease obligations (generating the originally projected revenue) or provide grounds for lease termination and re-leasing at market rates.</w:t>
      </w:r>
    </w:p>
    <w:p>
      <w:pPr>
        <w:pStyle w:val="Heading2"/>
        <w:spacing w:after="150" w:before="300"/>
      </w:pPr>
      <w:r>
        <w:rPr>
          <w:rFonts w:ascii="Arial" w:cs="Arial" w:eastAsia="Arial" w:hAnsi="Arial"/>
        </w:rPr>
        <w:t xml:space="preserve">5.1 Venue Capacity</w:t>
      </w:r>
    </w:p>
    <w:p>
      <w:pPr>
        <w:spacing w:after="120"/>
      </w:pPr>
      <w:r>
        <w:rPr>
          <w:rFonts w:ascii="Arial" w:cs="Arial" w:eastAsia="Arial" w:hAnsi="Arial"/>
          <w:sz w:val="22"/>
          <w:szCs w:val="22"/>
        </w:rPr>
        <w:t xml:space="preserve">The Metropolitan Opera House has a total building capacity of 7,420 (per architect Ruthie Embry's November 27, 2018 email). The auditorium configuration provides:</w:t>
      </w:r>
    </w:p>
    <w:p>
      <w:pPr>
        <w:pStyle w:val="ListParagraph"/>
        <w:numPr>
          <w:ilvl w:val="0"/>
          <w:numId w:val="2"/>
        </w:numPr>
        <w:spacing w:after="80"/>
      </w:pPr>
      <w:r>
        <w:rPr>
          <w:rFonts w:ascii="Arial" w:cs="Arial" w:eastAsia="Arial" w:hAnsi="Arial"/>
          <w:sz w:val="22"/>
          <w:szCs w:val="22"/>
        </w:rPr>
        <w:t xml:space="preserve">3,042 fixed seats (including ADA and orchestra removable seats)</w:t>
      </w:r>
    </w:p>
    <w:p>
      <w:pPr>
        <w:pStyle w:val="ListParagraph"/>
        <w:numPr>
          <w:ilvl w:val="0"/>
          <w:numId w:val="2"/>
        </w:numPr>
        <w:spacing w:after="80"/>
      </w:pPr>
      <w:r>
        <w:rPr>
          <w:rFonts w:ascii="Arial" w:cs="Arial" w:eastAsia="Arial" w:hAnsi="Arial"/>
          <w:sz w:val="22"/>
          <w:szCs w:val="22"/>
        </w:rPr>
        <w:t xml:space="preserve">1,212 standing room/loose seat capacity</w:t>
      </w:r>
    </w:p>
    <w:p>
      <w:pPr>
        <w:pStyle w:val="ListParagraph"/>
        <w:numPr>
          <w:ilvl w:val="0"/>
          <w:numId w:val="2"/>
        </w:numPr>
        <w:spacing w:after="80"/>
      </w:pPr>
      <w:r>
        <w:rPr>
          <w:rFonts w:ascii="Arial" w:cs="Arial" w:eastAsia="Arial" w:hAnsi="Arial"/>
          <w:sz w:val="22"/>
          <w:szCs w:val="22"/>
        </w:rPr>
        <w:t xml:space="preserve">358 additional occupants on two balconies over stage</w:t>
      </w:r>
    </w:p>
    <w:p>
      <w:pPr>
        <w:pStyle w:val="ListParagraph"/>
        <w:numPr>
          <w:ilvl w:val="0"/>
          <w:numId w:val="2"/>
        </w:numPr>
        <w:spacing w:after="80"/>
      </w:pPr>
      <w:r>
        <w:rPr>
          <w:rFonts w:ascii="Arial" w:cs="Arial" w:eastAsia="Arial" w:hAnsi="Arial"/>
          <w:sz w:val="22"/>
          <w:szCs w:val="22"/>
        </w:rPr>
        <w:t xml:space="preserve">Total auditorium capacity: 4,612 (seated + standing)</w:t>
      </w:r>
    </w:p>
    <w:p>
      <w:pPr>
        <w:pStyle w:val="ListParagraph"/>
        <w:numPr>
          <w:ilvl w:val="0"/>
          <w:numId w:val="2"/>
        </w:numPr>
        <w:spacing w:after="80"/>
      </w:pPr>
      <w:r>
        <w:rPr>
          <w:rFonts w:ascii="Arial" w:cs="Arial" w:eastAsia="Arial" w:hAnsi="Arial"/>
          <w:sz w:val="22"/>
          <w:szCs w:val="22"/>
        </w:rPr>
        <w:t xml:space="preserve">With orchestra standing: 4,870</w:t>
      </w:r>
    </w:p>
    <w:p>
      <w:pPr>
        <w:pStyle w:val="ListParagraph"/>
        <w:numPr>
          <w:ilvl w:val="0"/>
          <w:numId w:val="2"/>
        </w:numPr>
        <w:spacing w:after="80"/>
      </w:pPr>
      <w:r>
        <w:rPr>
          <w:rFonts w:ascii="Arial" w:cs="Arial" w:eastAsia="Arial" w:hAnsi="Arial"/>
          <w:sz w:val="22"/>
          <w:szCs w:val="22"/>
        </w:rPr>
        <w:t xml:space="preserve">Including Lobby, Grand Salle, and Stage: 6,666</w:t>
      </w:r>
    </w:p>
    <w:p>
      <w:pPr>
        <w:spacing w:after="120"/>
      </w:pPr>
      <w:r>
        <w:rPr>
          <w:rFonts w:ascii="Arial" w:cs="Arial" w:eastAsia="Arial" w:hAnsi="Arial"/>
          <w:sz w:val="22"/>
          <w:szCs w:val="22"/>
        </w:rPr>
        <w:t xml:space="preserve">This capacity significantly exceeds the 4,000-person reference used in Live Nation's own pre-lease financial projections, confirming the venue's ability to generate the ticket revenues Live Nation promised to lenders.</w:t>
      </w:r>
    </w:p>
    <w:p>
      <w:r>
        <w:br w:type="page"/>
      </w:r>
    </w:p>
    <w:p>
      <w:pPr>
        <w:pStyle w:val="Heading1"/>
        <w:spacing w:after="150" w:before="300"/>
      </w:pPr>
      <w:r>
        <w:rPr>
          <w:rFonts w:ascii="Arial" w:cs="Arial" w:eastAsia="Arial" w:hAnsi="Arial"/>
        </w:rPr>
        <w:t xml:space="preserve">6. Key Evidence Inventory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Exhibit</w:t>
            </w:r>
          </w:p>
        </w:tc>
        <w:tc>
          <w:tcPr>
            <w:tcW w:type="dxa" w:w="58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Significance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Fully Executed Lease (April 2017)</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Core agreement establishing all obligations: percentage rent, sponsorship sharing, good faith booking, real estate taxes, landlord usage rights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Lease Commencement Agreement (Dec 2018)</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Confirms Dec 3, 2018 commencement; 29-year term through Dec 2, 2047; extensive punchlist showing incomplete work</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Casale Ticket Sales Analysis (Sept 2017)</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Live Nation executive's own feasibility analysis expressing "high confidence" in venue exceeding expectations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Casale/Fulton Bank Correspondence (Nov 2017)</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Live Nation's representations to lender: 80% market share, $50M+ gross sales, 34% show count growth, 23% net income growth</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Peikon Sponsorship Letter (Nov 2017)</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SVP projects seven-figure sponsorship revenue; references Met capacity as 4,000; names specific sponsor prospects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Gordon Sponsorship Email (Nov 2017)</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Geoff Gordon's reaction to Fulton Bank's sponsorship questions reveals resistance to transparency</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Architect Capacity Email (Nov 2018)</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Ruthie Embry confirms total auditorium capacity of 4,612 (seated + standing), 4,870 with orchestra standing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Embry Certification (Jan 2026)</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Distinguishes capacity email from "Required Capacity" under Section 27.28 (5,000 ticketed capacity)</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PIDC Sponsorship Email Chain (Mar 2019)</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PIDC VP confirms Live Nation assured all parties that sponsorship included "all Premises"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Expert Report Draft (Scherf, June 2025)</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CPA expert quantifies $14,178,392 in damages through detailed analysis of ticket sales, sponsorship, and rental revenue shortfalls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DOJ Complaint Against Live Nation (2024)</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Federal antitrust action validates claims of monopolistic practices, exclusive dealing, self-preferencing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Defendants' Answer (Nov 2020)</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Live Nation's formal response to complaint; establishes their legal positions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Verified Complaint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Plaintiffs' detailed allegations of breach of contract, conversion, unjust enrichment, tortious interference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2025 Appraisal Report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Independent appraisal valuing the property at $43 million, supporting equity cushion analysis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Lost Revenues Analysis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Comprehensive projection showing ~$255M total damages including punitive damages and interest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SVOG Eligibility Documentation</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Shows how Live Nation's corporate structure (&gt;500 employees, publicly traded) disqualified the Met from COVID relief</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Percentage Rent Data (2018-2026)</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Year-by-year show counts and ticket revenues: 150 shows (2019) declining to 93 (2025), vs. 200+ projected</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Legal/Professional Fees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Tracks litigation costs from Braverman Kaskey (2019-2024) and Asterion (2024-2025)</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GBOX9 Premium Box Memo</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21-seat premium box valued at $410K+ for 90 shows in 2025; demonstrates venue premium potential</w:t>
            </w:r>
          </w:p>
        </w:tc>
      </w:tr>
    </w:tbl>
    <w:p>
      <w:r>
        <w:br w:type="page"/>
      </w:r>
    </w:p>
    <w:p>
      <w:pPr>
        <w:pStyle w:val="Heading1"/>
        <w:spacing w:after="150" w:before="300"/>
      </w:pPr>
      <w:r>
        <w:rPr>
          <w:rFonts w:ascii="Arial" w:cs="Arial" w:eastAsia="Arial" w:hAnsi="Arial"/>
        </w:rPr>
        <w:t xml:space="preserve">7. Recommendations &amp; Next Steps</w:t>
      </w:r>
    </w:p>
    <w:p>
      <w:pPr>
        <w:pStyle w:val="Heading2"/>
        <w:spacing w:after="150" w:before="300"/>
      </w:pPr>
      <w:r>
        <w:rPr>
          <w:rFonts w:ascii="Arial" w:cs="Arial" w:eastAsia="Arial" w:hAnsi="Arial"/>
        </w:rPr>
        <w:t xml:space="preserve">7.1 Litigation Strategy</w:t>
      </w:r>
    </w:p>
    <w:p>
      <w:pPr>
        <w:pStyle w:val="ListParagraph"/>
        <w:numPr>
          <w:ilvl w:val="0"/>
          <w:numId w:val="2"/>
        </w:numPr>
        <w:spacing w:after="80"/>
      </w:pPr>
      <w:r>
        <w:rPr>
          <w:rFonts w:ascii="Arial" w:cs="Arial" w:eastAsia="Arial" w:hAnsi="Arial"/>
          <w:sz w:val="22"/>
          <w:szCs w:val="22"/>
        </w:rPr>
        <w:t xml:space="preserve">Pursue aggressive discovery to obtain complete sponsorship revenue accounting from Live Nation, including all Citi payments and other sponsor agreements for the Met</w:t>
      </w:r>
    </w:p>
    <w:p>
      <w:pPr>
        <w:pStyle w:val="ListParagraph"/>
        <w:numPr>
          <w:ilvl w:val="0"/>
          <w:numId w:val="2"/>
        </w:numPr>
        <w:spacing w:after="80"/>
      </w:pPr>
      <w:r>
        <w:rPr>
          <w:rFonts w:ascii="Arial" w:cs="Arial" w:eastAsia="Arial" w:hAnsi="Arial"/>
          <w:sz w:val="22"/>
          <w:szCs w:val="22"/>
        </w:rPr>
        <w:t xml:space="preserve">Leverage the DOJ antitrust complaint as corroborating evidence of Live Nation's monopolistic pattern of behavior, particularly regarding self-preferencing and venue control</w:t>
      </w:r>
    </w:p>
    <w:p>
      <w:pPr>
        <w:pStyle w:val="ListParagraph"/>
        <w:numPr>
          <w:ilvl w:val="0"/>
          <w:numId w:val="2"/>
        </w:numPr>
        <w:spacing w:after="80"/>
      </w:pPr>
      <w:r>
        <w:rPr>
          <w:rFonts w:ascii="Arial" w:cs="Arial" w:eastAsia="Arial" w:hAnsi="Arial"/>
          <w:sz w:val="22"/>
          <w:szCs w:val="22"/>
        </w:rPr>
        <w:t xml:space="preserve">Seek court order compelling production of Live Nation's internal booking decisions showing diversion of shows away from the Met to competing venues</w:t>
      </w:r>
    </w:p>
    <w:p>
      <w:pPr>
        <w:pStyle w:val="ListParagraph"/>
        <w:numPr>
          <w:ilvl w:val="0"/>
          <w:numId w:val="2"/>
        </w:numPr>
        <w:spacing w:after="80"/>
      </w:pPr>
      <w:r>
        <w:rPr>
          <w:rFonts w:ascii="Arial" w:cs="Arial" w:eastAsia="Arial" w:hAnsi="Arial"/>
          <w:sz w:val="22"/>
          <w:szCs w:val="22"/>
        </w:rPr>
        <w:t xml:space="preserve">Update expert report as additional discovery material becomes available, particularly regarding third-party rental revenues and complete sponsorship data</w:t>
      </w:r>
    </w:p>
    <w:p>
      <w:pPr>
        <w:pStyle w:val="Heading2"/>
        <w:spacing w:after="150" w:before="300"/>
      </w:pPr>
      <w:r>
        <w:rPr>
          <w:rFonts w:ascii="Arial" w:cs="Arial" w:eastAsia="Arial" w:hAnsi="Arial"/>
        </w:rPr>
        <w:t xml:space="preserve">7.2 Financial Strategy</w:t>
      </w:r>
    </w:p>
    <w:p>
      <w:pPr>
        <w:pStyle w:val="ListParagraph"/>
        <w:numPr>
          <w:ilvl w:val="0"/>
          <w:numId w:val="2"/>
        </w:numPr>
        <w:spacing w:after="80"/>
      </w:pPr>
      <w:r>
        <w:rPr>
          <w:rFonts w:ascii="Arial" w:cs="Arial" w:eastAsia="Arial" w:hAnsi="Arial"/>
          <w:sz w:val="22"/>
          <w:szCs w:val="22"/>
        </w:rPr>
        <w:t xml:space="preserve">Pursue the $10 million debt reduction opportunity to strengthen the property's financial position during litigation</w:t>
      </w:r>
    </w:p>
    <w:p>
      <w:pPr>
        <w:pStyle w:val="ListParagraph"/>
        <w:numPr>
          <w:ilvl w:val="0"/>
          <w:numId w:val="2"/>
        </w:numPr>
        <w:spacing w:after="80"/>
      </w:pPr>
      <w:r>
        <w:rPr>
          <w:rFonts w:ascii="Arial" w:cs="Arial" w:eastAsia="Arial" w:hAnsi="Arial"/>
          <w:sz w:val="22"/>
          <w:szCs w:val="22"/>
        </w:rPr>
        <w:t xml:space="preserve">This reduces total debt from $32.6M to $22M and increases equity cushion from $10M to $20M</w:t>
      </w:r>
    </w:p>
    <w:p>
      <w:pPr>
        <w:pStyle w:val="ListParagraph"/>
        <w:numPr>
          <w:ilvl w:val="0"/>
          <w:numId w:val="2"/>
        </w:numPr>
        <w:spacing w:after="80"/>
      </w:pPr>
      <w:r>
        <w:rPr>
          <w:rFonts w:ascii="Arial" w:cs="Arial" w:eastAsia="Arial" w:hAnsi="Arial"/>
          <w:sz w:val="22"/>
          <w:szCs w:val="22"/>
        </w:rPr>
        <w:t xml:space="preserve">A stronger balance sheet enhances negotiating leverage in any settlement discussions</w:t>
      </w:r>
    </w:p>
    <w:p>
      <w:pPr>
        <w:pStyle w:val="Heading2"/>
        <w:spacing w:after="150" w:before="300"/>
      </w:pPr>
      <w:r>
        <w:rPr>
          <w:rFonts w:ascii="Arial" w:cs="Arial" w:eastAsia="Arial" w:hAnsi="Arial"/>
        </w:rPr>
        <w:t xml:space="preserve">7.3 Settlement Considerations</w:t>
      </w:r>
    </w:p>
    <w:p>
      <w:pPr>
        <w:spacing w:after="120"/>
      </w:pPr>
      <w:r>
        <w:rPr>
          <w:rFonts w:ascii="Arial" w:cs="Arial" w:eastAsia="Arial" w:hAnsi="Arial"/>
          <w:sz w:val="22"/>
          <w:szCs w:val="22"/>
        </w:rPr>
        <w:t xml:space="preserve">Given the strength of the evidence and the multiple categories of breach, Plaintiffs are in a strong position for settlement negotiations. Any settlement should account for:</w:t>
      </w:r>
    </w:p>
    <w:p>
      <w:pPr>
        <w:pStyle w:val="ListParagraph"/>
        <w:numPr>
          <w:ilvl w:val="0"/>
          <w:numId w:val="2"/>
        </w:numPr>
        <w:spacing w:after="80"/>
      </w:pPr>
      <w:r>
        <w:rPr>
          <w:rFonts w:ascii="Arial" w:cs="Arial" w:eastAsia="Arial" w:hAnsi="Arial"/>
          <w:sz w:val="22"/>
          <w:szCs w:val="22"/>
        </w:rPr>
        <w:t xml:space="preserve">Past damages (minimum $14.1M per expert report, up to $255M comprehensive)</w:t>
      </w:r>
    </w:p>
    <w:p>
      <w:pPr>
        <w:pStyle w:val="ListParagraph"/>
        <w:numPr>
          <w:ilvl w:val="0"/>
          <w:numId w:val="2"/>
        </w:numPr>
        <w:spacing w:after="80"/>
      </w:pPr>
      <w:r>
        <w:rPr>
          <w:rFonts w:ascii="Arial" w:cs="Arial" w:eastAsia="Arial" w:hAnsi="Arial"/>
          <w:sz w:val="22"/>
          <w:szCs w:val="22"/>
        </w:rPr>
        <w:t xml:space="preserve">Future lease compliance or lease termination rights</w:t>
      </w:r>
    </w:p>
    <w:p>
      <w:pPr>
        <w:pStyle w:val="ListParagraph"/>
        <w:numPr>
          <w:ilvl w:val="0"/>
          <w:numId w:val="2"/>
        </w:numPr>
        <w:spacing w:after="80"/>
      </w:pPr>
      <w:r>
        <w:rPr>
          <w:rFonts w:ascii="Arial" w:cs="Arial" w:eastAsia="Arial" w:hAnsi="Arial"/>
          <w:sz w:val="22"/>
          <w:szCs w:val="22"/>
        </w:rPr>
        <w:t xml:space="preserve">Complete accounting of all sponsorship and rental revenues</w:t>
      </w:r>
    </w:p>
    <w:p>
      <w:pPr>
        <w:pStyle w:val="ListParagraph"/>
        <w:numPr>
          <w:ilvl w:val="0"/>
          <w:numId w:val="2"/>
        </w:numPr>
        <w:spacing w:after="80"/>
      </w:pPr>
      <w:r>
        <w:rPr>
          <w:rFonts w:ascii="Arial" w:cs="Arial" w:eastAsia="Arial" w:hAnsi="Arial"/>
          <w:sz w:val="22"/>
          <w:szCs w:val="22"/>
        </w:rPr>
        <w:t xml:space="preserve">C-PACE payment obligations going forward</w:t>
      </w:r>
    </w:p>
    <w:p>
      <w:pPr>
        <w:pStyle w:val="ListParagraph"/>
        <w:numPr>
          <w:ilvl w:val="0"/>
          <w:numId w:val="2"/>
        </w:numPr>
        <w:spacing w:after="80"/>
      </w:pPr>
      <w:r>
        <w:rPr>
          <w:rFonts w:ascii="Arial" w:cs="Arial" w:eastAsia="Arial" w:hAnsi="Arial"/>
          <w:sz w:val="22"/>
          <w:szCs w:val="22"/>
        </w:rPr>
        <w:t xml:space="preserve">Good faith booking commitments with enforceable minimums</w:t>
      </w:r>
    </w:p>
    <w:p>
      <w:pPr>
        <w:pStyle w:val="Heading2"/>
        <w:spacing w:after="150" w:before="300"/>
      </w:pPr>
      <w:r>
        <w:rPr>
          <w:rFonts w:ascii="Arial" w:cs="Arial" w:eastAsia="Arial" w:hAnsi="Arial"/>
        </w:rPr>
        <w:t xml:space="preserve">7.4 Monitoring &amp; Escalation</w:t>
      </w:r>
    </w:p>
    <w:p>
      <w:pPr>
        <w:spacing w:after="120"/>
      </w:pPr>
      <w:r>
        <w:rPr>
          <w:rFonts w:ascii="Arial" w:cs="Arial" w:eastAsia="Arial" w:hAnsi="Arial"/>
          <w:sz w:val="22"/>
          <w:szCs w:val="22"/>
        </w:rPr>
        <w:t xml:space="preserve">All risks in this assessment should be reviewed monthly as litigation progresses. Key trigger events for reassessment include: new discovery disclosures, DOJ antitrust case developments, changes in Live Nation's booking patterns at the Met, and any settlement overtures.</w:t>
      </w:r>
    </w:p>
    <w:p>
      <w:pPr>
        <w:pBdr>
          <w:top w:val="single" w:color="1B3A5C" w:sz="4" w:space="8"/>
        </w:pBdr>
        <w:spacing w:before="400"/>
      </w:pPr>
      <w:r>
        <w:rPr>
          <w:rFonts w:ascii="Arial" w:cs="Arial" w:eastAsia="Arial" w:hAnsi="Arial"/>
          <w:i/>
          <w:iCs/>
          <w:color w:val="666666"/>
          <w:sz w:val="18"/>
          <w:szCs w:val="18"/>
        </w:rPr>
        <w:t xml:space="preserve">This assessment is prepared for informational purposes and should be reviewed by qualified legal counsel. It does not constitute legal advice.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999999"/>
        <w:sz w:val="16"/>
        <w:szCs w:val="16"/>
      </w:rPr>
      <w:t xml:space="preserve">EBRM v. Live Nation — Legal Risk Assessment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6" w:space="1"/>
      </w:pBdr>
      <w:jc w:val="right"/>
    </w:pPr>
    <w:r>
      <w:rPr>
        <w:rFonts w:ascii="Arial" w:cs="Arial" w:eastAsia="Arial" w:hAnsi="Arial"/>
        <w:i/>
        <w:iCs/>
        <w:color w:val="999999"/>
        <w:sz w:val="16"/>
        <w:szCs w:val="16"/>
      </w:rPr>
      <w:t xml:space="preserve">PRIVILEGED &amp; 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50" w:before="240"/>
      <w:outlineLvl w:val="1"/>
    </w:pPr>
    <w:rPr>
      <w:rFonts w:ascii="Arial" w:cs="Arial" w:eastAsia="Arial" w:hAnsi="Arial"/>
      <w:b/>
      <w:bCs/>
      <w:color w:val="2E5A8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3B7DD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2026-03-05T06:48:56.529Z</dcterms:created>
  <dcterms:modified xsi:type="dcterms:W3CDTF">2026-03-05T06:48:56.529Z</dcterms:modified>
</cp:coreProperties>
</file>

<file path=docProps/custom.xml><?xml version="1.0" encoding="utf-8"?>
<Properties xmlns="http://schemas.openxmlformats.org/officeDocument/2006/custom-properties" xmlns:vt="http://schemas.openxmlformats.org/officeDocument/2006/docPropsVTypes"/>
</file>